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3D72E3">
        <w:trPr>
          <w:trHeight w:val="12201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2D8C2780" w:rsidR="00235F59" w:rsidRPr="00235F59" w:rsidRDefault="00D27946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235F59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460C7BDE" w:rsidR="00235F59" w:rsidRPr="00235F59" w:rsidRDefault="00D27946" w:rsidP="00D27946">
                  <w:pPr>
                    <w:rPr>
                      <w:sz w:val="22"/>
                      <w:szCs w:val="22"/>
                    </w:rPr>
                  </w:pPr>
                  <w:r w:rsidRPr="00D27946">
                    <w:rPr>
                      <w:sz w:val="22"/>
                      <w:szCs w:val="22"/>
                    </w:rPr>
                    <w:t>STRATEJİK YÖNETİM VE PLANLAMA ŞUBE MÜDÜRÜ</w:t>
                  </w:r>
                </w:p>
              </w:tc>
            </w:tr>
            <w:tr w:rsidR="00235F59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1157F8FC" w:rsidR="00235F59" w:rsidRPr="00235F59" w:rsidRDefault="00255FBD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235F59" w:rsidRPr="00344B36" w14:paraId="1B0C31D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4C2D7C0C" w:rsidR="00235F59" w:rsidRPr="00235F59" w:rsidRDefault="00255FBD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BÜTÇE PERFORMANS </w:t>
                  </w:r>
                  <w:r w:rsidR="003354E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7A08F347" w14:textId="4FEC29E2" w:rsidR="00235F59" w:rsidRDefault="00D27946" w:rsidP="00D27946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27946">
              <w:rPr>
                <w:rFonts w:eastAsia="Carlito"/>
                <w:sz w:val="22"/>
                <w:szCs w:val="22"/>
              </w:rPr>
              <w:t>İdarenin stratejik planlama çalışmalarına yönelik bir hazırlık programı oluşturmak, idarenin stratejik planlama sürecinde ihtiyaç duyulacak eğitim ve danışmanlık hizmetlerini vermek veya verilmesini sağlamak ve stratejik planlama çalışmalarını koordine etmek</w:t>
            </w:r>
            <w:r>
              <w:rPr>
                <w:rFonts w:eastAsia="Carlito"/>
                <w:sz w:val="22"/>
                <w:szCs w:val="22"/>
              </w:rPr>
              <w:t xml:space="preserve"> ve gerekli destek hizmetlerini yürütmek görev tanımıdır.</w:t>
            </w:r>
          </w:p>
          <w:p w14:paraId="341A24E2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00022CEA" w14:textId="412BA32A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İdarenin stratejik planlama çalışmalarına yönelik bir hazırlık programı oluşturmak ve stratejik planlama</w:t>
            </w:r>
          </w:p>
          <w:p w14:paraId="6E81C44D" w14:textId="75741653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çalışmalarını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koordine etmek</w:t>
            </w:r>
            <w:r w:rsidR="00F4795B">
              <w:rPr>
                <w:rFonts w:eastAsia="Carlito"/>
                <w:sz w:val="22"/>
                <w:szCs w:val="22"/>
              </w:rPr>
              <w:t>,</w:t>
            </w:r>
          </w:p>
          <w:p w14:paraId="0354C021" w14:textId="442768E0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İdarenin stratejik planlama sürecinde ihtiyaç duyulacak eğitim ve danışmanlık hizmetlerini vermek veya</w:t>
            </w:r>
          </w:p>
          <w:p w14:paraId="655B6084" w14:textId="0DBDA904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verilmesini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sağlamak</w:t>
            </w:r>
            <w:r w:rsidR="00F4795B">
              <w:rPr>
                <w:rFonts w:eastAsia="Carlito"/>
                <w:sz w:val="22"/>
                <w:szCs w:val="22"/>
              </w:rPr>
              <w:t>,</w:t>
            </w:r>
          </w:p>
          <w:p w14:paraId="7D92A070" w14:textId="7D139175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Stratejik Planlama çalışmalarının ve Strateji Geliştirme Kurulunun sekretaryası ile planlamaya ilişkin</w:t>
            </w:r>
          </w:p>
          <w:p w14:paraId="7D21DC86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diğer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destek hizmetlerini yürütmek,</w:t>
            </w:r>
          </w:p>
          <w:p w14:paraId="1715F9FE" w14:textId="6310072A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 xml:space="preserve">İdarenin stratejik plan hazırlıklarını koordine etmek ve sonuçlarının </w:t>
            </w:r>
            <w:proofErr w:type="gramStart"/>
            <w:r w:rsidRPr="00FB67DD">
              <w:rPr>
                <w:rFonts w:eastAsia="Carlito"/>
                <w:sz w:val="22"/>
                <w:szCs w:val="22"/>
              </w:rPr>
              <w:t>konsolide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FB67DD">
              <w:rPr>
                <w:rFonts w:eastAsia="Carlito"/>
                <w:sz w:val="22"/>
                <w:szCs w:val="22"/>
              </w:rPr>
              <w:t>edilmesi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çalışmalarını</w:t>
            </w:r>
          </w:p>
          <w:p w14:paraId="41243BBF" w14:textId="22B5CD8B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yürütmek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>,</w:t>
            </w:r>
          </w:p>
          <w:p w14:paraId="2614EA40" w14:textId="16E9E78C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Stratejik Planı beş yıllık dönemi kapsayacak şekilde: İdarenin hizmetinden yararlananların, idaremiz</w:t>
            </w:r>
          </w:p>
          <w:p w14:paraId="0B6B6741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çalışanlarının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>, sivil toplum kuruluşlarının, ilgili kamu kurum ve kuruluşları ile ilgili diğer tarafların</w:t>
            </w:r>
          </w:p>
          <w:p w14:paraId="3264DF76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katılımları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ve katkıları sağlayarak, uyum, işbirliği ve eşgüdüm içinde; hesap verme sorumluluğunun</w:t>
            </w:r>
          </w:p>
          <w:p w14:paraId="2D76992D" w14:textId="1705F9B6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gereklerini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de dikkate alarak, 5018 sayılı Kamu Malî Yönetimi ve Kontrol Kanununa, ilgili Yönetmeliğe ,Kılavuzlara ve Strateji ve Bütçe Başkanlığınca yayımlanan stratejik planlamaya ilişkin diğer rehberlere uygun olarak hazırlamak,</w:t>
            </w:r>
          </w:p>
          <w:p w14:paraId="39DF1A15" w14:textId="5F7A3995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Kalkınma planları, programlar, ilgili mevzuat ve benimsenen temel ilkeler çerçevesinde geleceğe ilişkin</w:t>
            </w:r>
          </w:p>
          <w:p w14:paraId="3EF85D16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misyon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ve vizyonları oluşturmak, stratejik amaçlar ve ölçülebilir hedefler saptamak, performansları</w:t>
            </w:r>
          </w:p>
          <w:p w14:paraId="5917FD71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önceden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belirlenmiş olan göstergeler doğrultusunda ölçmek ve bu sürecin izleme ve değerlendirmesini</w:t>
            </w:r>
          </w:p>
          <w:p w14:paraId="0862B9D6" w14:textId="2FCA6E1A" w:rsidR="00FB67DD" w:rsidRPr="00FB67DD" w:rsidRDefault="00FB67DD" w:rsidP="00FB67DD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>
              <w:rPr>
                <w:rFonts w:eastAsia="Carlito"/>
                <w:sz w:val="22"/>
                <w:szCs w:val="22"/>
              </w:rPr>
              <w:t xml:space="preserve">              </w:t>
            </w:r>
            <w:proofErr w:type="gramStart"/>
            <w:r w:rsidRPr="00FB67DD">
              <w:rPr>
                <w:rFonts w:eastAsia="Carlito"/>
                <w:sz w:val="22"/>
                <w:szCs w:val="22"/>
              </w:rPr>
              <w:t>yapmak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amacıyla katılımcı yöntemlerle stratejik plan hazırlamak,</w:t>
            </w:r>
          </w:p>
          <w:p w14:paraId="4E7FFBCA" w14:textId="3253AE9C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Kalkınma planı, orta vadeli program ve faaliyet alanı ile ilgili diğer ulusal, bölgesel ve sektörel plan ve</w:t>
            </w:r>
          </w:p>
          <w:p w14:paraId="7B9372F3" w14:textId="7394CE74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programlara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uygun olarak, orta vadeli programda yer alan amaç, politikalar ve makro büyüklükler ile     </w:t>
            </w:r>
            <w:r w:rsidRPr="00FB67DD">
              <w:rPr>
                <w:rFonts w:eastAsia="Carlito"/>
                <w:sz w:val="22"/>
                <w:szCs w:val="22"/>
              </w:rPr>
              <w:lastRenderedPageBreak/>
              <w:t>orta vadeli malî planda belirlenen teklif tavanlarını dikkate alarak yıllar itibarıyla amaç ve hedefler bazında kaynak dağılım tahmininde bulunarak stratejik planı oluşturmak</w:t>
            </w:r>
            <w:r w:rsidR="00F501FB">
              <w:rPr>
                <w:rFonts w:eastAsia="Carlito"/>
                <w:sz w:val="22"/>
                <w:szCs w:val="22"/>
              </w:rPr>
              <w:t>,</w:t>
            </w:r>
          </w:p>
          <w:p w14:paraId="400B37E2" w14:textId="26B6D8A3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Stratejik plan en az iki yıl uygulandıktan sonra gerek görülmesi halinde hedeflerinde nicel değişiklikler yaparak güncelleştirmek,</w:t>
            </w:r>
          </w:p>
          <w:p w14:paraId="096BBAF6" w14:textId="5EB5B1BB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İdarenin: görev, yetki ve sorumluluklarını düzenleyen mevzuatta değişiklik olması, hükümetin</w:t>
            </w:r>
          </w:p>
          <w:p w14:paraId="0CBD3B67" w14:textId="1A21D1B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değişmesi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>, bakanın değişmesi hâlinde, bu şartların oluşmasını müteakip en geç üç ay içinde ilgili onayları alarak stratejik planını yenilemek,</w:t>
            </w:r>
          </w:p>
          <w:p w14:paraId="529C8801" w14:textId="7D5511CD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Stratejik planların yenilenmesi ve güncelleştirilmesi durumunda ise Strateji ve Bütçe Başkanlığına ve</w:t>
            </w:r>
          </w:p>
          <w:p w14:paraId="5A1A60EF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Maliye Bakanlığına bilgi vermek,</w:t>
            </w:r>
          </w:p>
          <w:p w14:paraId="4D0B80F2" w14:textId="568A63C6" w:rsidR="00FB67DD" w:rsidRPr="00F4795B" w:rsidRDefault="00FB67DD" w:rsidP="0040463B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4795B">
              <w:rPr>
                <w:rFonts w:eastAsia="Carlito"/>
                <w:sz w:val="22"/>
                <w:szCs w:val="22"/>
              </w:rPr>
              <w:t>Strateji ve Bütçe Başkanlığınca Stratejik Plan değerlendirme raporu gönderilmesi hâlinde</w:t>
            </w:r>
            <w:r w:rsidR="00F4795B" w:rsidRPr="00F4795B">
              <w:rPr>
                <w:rFonts w:eastAsia="Carlito"/>
                <w:sz w:val="22"/>
                <w:szCs w:val="22"/>
              </w:rPr>
              <w:t xml:space="preserve"> </w:t>
            </w:r>
            <w:r w:rsidRPr="00F4795B">
              <w:rPr>
                <w:rFonts w:eastAsia="Carlito"/>
                <w:sz w:val="22"/>
                <w:szCs w:val="22"/>
              </w:rPr>
              <w:t>değerlendirme raporunu dikkate alarak stratejik plana son şeklini vermek ve sunulmaya hazır hâle</w:t>
            </w:r>
            <w:r w:rsidR="00F4795B">
              <w:rPr>
                <w:rFonts w:eastAsia="Carlito"/>
                <w:sz w:val="22"/>
                <w:szCs w:val="22"/>
              </w:rPr>
              <w:t xml:space="preserve"> </w:t>
            </w:r>
            <w:r w:rsidRPr="00F4795B">
              <w:rPr>
                <w:rFonts w:eastAsia="Carlito"/>
                <w:sz w:val="22"/>
                <w:szCs w:val="22"/>
              </w:rPr>
              <w:t>getirmek,</w:t>
            </w:r>
          </w:p>
          <w:p w14:paraId="4D5EB25C" w14:textId="29247923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Stratejik planın birer nüshasını, üst yöneticinin onayını müteakip performans programı ve bütçe</w:t>
            </w:r>
          </w:p>
          <w:p w14:paraId="44ED4338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hazırlıklarında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esas alınmak üzere Maliye Bakanlığına, Strateji ve Bütçe Başkanlığına ve Sayıştay’a</w:t>
            </w:r>
          </w:p>
          <w:p w14:paraId="5D38A657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göndermek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>,</w:t>
            </w:r>
          </w:p>
          <w:p w14:paraId="61524021" w14:textId="732F6363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Stratejik planı kamuoyuna duyurmak ve Üniversitemiz internet sitesinde yayınlamak,</w:t>
            </w:r>
          </w:p>
          <w:p w14:paraId="2B731ABD" w14:textId="290E1DC4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İdarenin misyonunun belirlenmesi çalışmalarını yürütmek,</w:t>
            </w:r>
          </w:p>
          <w:p w14:paraId="79D59BF3" w14:textId="45E6245F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İdarenin görev alanına giren konularda, hizmetleri etkileyecek dış faktörleri incelemek,</w:t>
            </w:r>
          </w:p>
          <w:p w14:paraId="12CCAA92" w14:textId="66A1C22E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Yeni hizmet fırsatlarını belirlemek, etkililik ve verimliliği önleyen tehditler karşısında önlem almak,</w:t>
            </w:r>
          </w:p>
          <w:p w14:paraId="50B86F17" w14:textId="444E8B3F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Kurum içi kapasite araştırması yapmak, hizmetlerin etkililiğini ve yararlanıcı memnuniyetini analiz</w:t>
            </w:r>
          </w:p>
          <w:p w14:paraId="4E8AAD35" w14:textId="77777777" w:rsidR="00FB67DD" w:rsidRPr="00FB67DD" w:rsidRDefault="00FB67DD" w:rsidP="00FB67D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proofErr w:type="gramStart"/>
            <w:r w:rsidRPr="00FB67DD">
              <w:rPr>
                <w:rFonts w:eastAsia="Carlito"/>
                <w:sz w:val="22"/>
                <w:szCs w:val="22"/>
              </w:rPr>
              <w:t>etmek</w:t>
            </w:r>
            <w:proofErr w:type="gramEnd"/>
            <w:r w:rsidRPr="00FB67DD">
              <w:rPr>
                <w:rFonts w:eastAsia="Carlito"/>
                <w:sz w:val="22"/>
                <w:szCs w:val="22"/>
              </w:rPr>
              <w:t xml:space="preserve"> ve genel araştırmalar yapmak,</w:t>
            </w:r>
          </w:p>
          <w:p w14:paraId="39239AA7" w14:textId="63BD827E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İdarenin üstünlük ve zayıflıklarını tespit etmek,</w:t>
            </w:r>
          </w:p>
          <w:p w14:paraId="25F0CEB0" w14:textId="08B47CBA" w:rsidR="00FB67DD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İdarenin görev alanıyla ilgili araştırma-geliştirme faaliyetlerini yürütmek,</w:t>
            </w:r>
          </w:p>
          <w:p w14:paraId="3405BF6A" w14:textId="486A1AE4" w:rsidR="000D3229" w:rsidRPr="00FB67DD" w:rsidRDefault="00FB67DD" w:rsidP="00FB67D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FB67DD">
              <w:rPr>
                <w:rFonts w:eastAsia="Carlito"/>
                <w:sz w:val="22"/>
                <w:szCs w:val="22"/>
              </w:rPr>
              <w:t>İdare faaliyetleri ile ilgili bilgi ve verileri toplamak, tasnif etmek, analiz etmek</w:t>
            </w:r>
            <w:r w:rsidR="00ED1F70">
              <w:rPr>
                <w:rFonts w:eastAsia="Carlito"/>
                <w:sz w:val="22"/>
                <w:szCs w:val="22"/>
              </w:rPr>
              <w:t>.</w:t>
            </w:r>
          </w:p>
          <w:p w14:paraId="6742AAF4" w14:textId="77777777" w:rsidR="00FB67DD" w:rsidRDefault="00FB67DD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6FE23FFB" w14:textId="0710E601" w:rsid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73EE2CF2" w14:textId="77777777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5018, 2547, 2914 ve 657 Sayılı Kanun’unda belirtilen görev ile ilgili genel niteliklere sahip olmak.</w:t>
            </w:r>
          </w:p>
          <w:p w14:paraId="133F45D0" w14:textId="77777777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En az Üniversite mezunu olmak.</w:t>
            </w:r>
          </w:p>
          <w:p w14:paraId="7D6606D0" w14:textId="2A7CAAE5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>
              <w:rPr>
                <w:rFonts w:eastAsia="Carlito"/>
                <w:bCs/>
                <w:sz w:val="22"/>
                <w:szCs w:val="22"/>
              </w:rPr>
              <w:t>Stratejik Yönetim ve Planlama</w:t>
            </w:r>
            <w:r w:rsidRPr="0019588F">
              <w:rPr>
                <w:rFonts w:eastAsia="Carlito"/>
                <w:bCs/>
                <w:sz w:val="22"/>
                <w:szCs w:val="22"/>
              </w:rPr>
              <w:t xml:space="preserve"> süreci ile ilgili diğer mevzuatları bilmek.</w:t>
            </w:r>
          </w:p>
          <w:p w14:paraId="4E2059FD" w14:textId="77777777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Görevini gereği gibi yerine getirebilmek için gerekli iş deneyimine sahip olmak.</w:t>
            </w:r>
          </w:p>
          <w:p w14:paraId="4A2925A3" w14:textId="77777777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Yukarıda belirtilen görev ve sorumlulukları gerçekleştirme yetkisine sahip olmak.</w:t>
            </w:r>
          </w:p>
          <w:p w14:paraId="2795B92E" w14:textId="2DACE573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Faaliyetlerinin gerektirdiği her türlü araç, gereç ve malzemeyi kullanabilme</w:t>
            </w:r>
            <w:r w:rsidR="0093341E">
              <w:rPr>
                <w:rFonts w:eastAsia="Carlito"/>
                <w:bCs/>
                <w:sz w:val="22"/>
                <w:szCs w:val="22"/>
              </w:rPr>
              <w:t>k.</w:t>
            </w:r>
          </w:p>
          <w:p w14:paraId="35EDE0D2" w14:textId="46604B55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Sorumlu olduğu birime gelen evrakları çalışan personele görevlendirme esaslarına göre havale etmek</w:t>
            </w:r>
            <w:r w:rsidR="0093341E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01D69A3B" w14:textId="5BD87D50" w:rsidR="00FB67DD" w:rsidRPr="0019588F" w:rsidRDefault="00FB67DD" w:rsidP="0093341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left="776" w:hanging="304"/>
              <w:jc w:val="both"/>
              <w:rPr>
                <w:rFonts w:eastAsia="Carlito"/>
                <w:b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EBY</w:t>
            </w:r>
            <w:r w:rsidR="0093341E">
              <w:rPr>
                <w:rFonts w:eastAsia="Carlito"/>
                <w:bCs/>
                <w:sz w:val="22"/>
                <w:szCs w:val="22"/>
              </w:rPr>
              <w:t>S</w:t>
            </w:r>
            <w:r w:rsidRPr="0019588F">
              <w:rPr>
                <w:rFonts w:eastAsia="Carlito"/>
                <w:bCs/>
                <w:sz w:val="22"/>
                <w:szCs w:val="22"/>
              </w:rPr>
              <w:t>, MYS ve KBS uygulamalarını kullanmak</w:t>
            </w:r>
            <w:r w:rsidR="0093341E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73D74ADB" w14:textId="77777777" w:rsidR="00FB67DD" w:rsidRDefault="00FB67DD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736A0690" w14:textId="551257D2" w:rsidR="003D72E3" w:rsidRPr="003D72E3" w:rsidRDefault="003D72E3" w:rsidP="003D72E3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D72E3">
              <w:rPr>
                <w:rFonts w:eastAsia="Carlito"/>
                <w:sz w:val="22"/>
                <w:szCs w:val="22"/>
              </w:rPr>
              <w:t>5018 Sayılı Mali Yönetimi ve Kontrol Kanunu</w:t>
            </w:r>
          </w:p>
          <w:p w14:paraId="458AACEF" w14:textId="4F855F4D" w:rsidR="003D72E3" w:rsidRPr="003D72E3" w:rsidRDefault="003D72E3" w:rsidP="003D72E3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D72E3">
              <w:rPr>
                <w:rFonts w:eastAsia="Carlito"/>
                <w:sz w:val="22"/>
                <w:szCs w:val="22"/>
              </w:rPr>
              <w:t>Strateji Geliştirme Birimlerin Çalışma Usul ve Esasları Hakkında Yönetmelik</w:t>
            </w:r>
          </w:p>
          <w:p w14:paraId="7C93EE34" w14:textId="26BD947A" w:rsidR="00763741" w:rsidRPr="003D72E3" w:rsidRDefault="003D72E3" w:rsidP="003D72E3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D72E3">
              <w:rPr>
                <w:rFonts w:eastAsia="Carlito"/>
                <w:sz w:val="22"/>
                <w:szCs w:val="22"/>
              </w:rPr>
              <w:t>Kamu İdarelerinde Stratejik Planlamaya İlişkin Usul ve Esaslar Hakkında Yönetmelik</w:t>
            </w:r>
          </w:p>
          <w:p w14:paraId="19DE4B84" w14:textId="77777777" w:rsidR="003D72E3" w:rsidRDefault="003D72E3" w:rsidP="00763741">
            <w:pPr>
              <w:widowControl w:val="0"/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</w:p>
          <w:p w14:paraId="69CA2BE1" w14:textId="77777777" w:rsidR="003D72E3" w:rsidRDefault="003D72E3" w:rsidP="00763741">
            <w:pPr>
              <w:widowControl w:val="0"/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435385AA" w14:textId="77777777" w:rsidR="003D72E3" w:rsidRPr="00235357" w:rsidRDefault="003D72E3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5A7676CC" w:rsidR="000D3229" w:rsidRPr="00235F59" w:rsidRDefault="003D72E3" w:rsidP="003D72E3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235357" w:rsidRPr="00235357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</w:t>
            </w:r>
            <w:proofErr w:type="gramStart"/>
            <w:r w:rsidR="00235357" w:rsidRPr="00235357">
              <w:rPr>
                <w:sz w:val="22"/>
                <w:szCs w:val="22"/>
              </w:rPr>
              <w:t>Tarih :</w:t>
            </w:r>
            <w:proofErr w:type="gramEnd"/>
            <w:r w:rsidR="00235357" w:rsidRPr="00235357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255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1A88" w14:textId="77777777" w:rsidR="00E42573" w:rsidRDefault="00E42573" w:rsidP="0072515F">
      <w:r>
        <w:separator/>
      </w:r>
    </w:p>
  </w:endnote>
  <w:endnote w:type="continuationSeparator" w:id="0">
    <w:p w14:paraId="599E91AC" w14:textId="77777777" w:rsidR="00E42573" w:rsidRDefault="00E4257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39CD" w14:textId="77777777" w:rsidR="00A51270" w:rsidRDefault="00A512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31949852" name="Resim 31949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1889" w14:textId="77777777" w:rsidR="00A51270" w:rsidRDefault="00A512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8F0E" w14:textId="77777777" w:rsidR="00E42573" w:rsidRDefault="00E42573" w:rsidP="0072515F">
      <w:r>
        <w:separator/>
      </w:r>
    </w:p>
  </w:footnote>
  <w:footnote w:type="continuationSeparator" w:id="0">
    <w:p w14:paraId="310CFD04" w14:textId="77777777" w:rsidR="00E42573" w:rsidRDefault="00E4257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AA3D" w14:textId="77777777" w:rsidR="00A51270" w:rsidRDefault="00A512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545A0A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352977470" name="Resim 352977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8B99E10" w14:textId="23F19D56" w:rsidR="00A51270" w:rsidRDefault="00A51270" w:rsidP="00ED1F7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STRATEJİ GELİŞTİRME</w:t>
          </w:r>
          <w:r w:rsidRPr="00235F59">
            <w:rPr>
              <w:b/>
              <w:sz w:val="24"/>
              <w:szCs w:val="24"/>
            </w:rPr>
            <w:t xml:space="preserve"> DAİRE BAŞKAN</w:t>
          </w:r>
          <w:r>
            <w:rPr>
              <w:b/>
              <w:sz w:val="24"/>
              <w:szCs w:val="24"/>
            </w:rPr>
            <w:t>LIĞI</w:t>
          </w:r>
        </w:p>
        <w:p w14:paraId="3505B2D2" w14:textId="16821DB0" w:rsidR="000D250F" w:rsidRPr="00D82ADE" w:rsidRDefault="00255FBD" w:rsidP="00ED1F7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STRATEJİK YÖNETİM VE PLANLAMA ŞUBE MÜDÜRÜ</w:t>
          </w:r>
          <w:r w:rsidR="00235F59" w:rsidRPr="00235F59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412496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ED1F70">
            <w:t>173</w:t>
          </w:r>
        </w:p>
      </w:tc>
    </w:tr>
    <w:tr w:rsidR="009D067F" w:rsidRPr="007B4963" w14:paraId="5314D62F" w14:textId="77777777" w:rsidTr="00545A0A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3827E2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F4795B">
            <w:t>0</w:t>
          </w:r>
        </w:p>
      </w:tc>
    </w:tr>
    <w:tr w:rsidR="009D067F" w:rsidRPr="007B4963" w14:paraId="68FFB88C" w14:textId="77777777" w:rsidTr="00545A0A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41C446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ED1F70">
            <w:t>26.07.2023</w:t>
          </w:r>
        </w:p>
      </w:tc>
    </w:tr>
    <w:tr w:rsidR="009D067F" w:rsidRPr="007B4963" w14:paraId="07635939" w14:textId="77777777" w:rsidTr="00545A0A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6611B1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ED1F70">
            <w:t>26.07.2023</w:t>
          </w:r>
        </w:p>
      </w:tc>
    </w:tr>
    <w:tr w:rsidR="009D067F" w:rsidRPr="007B4963" w14:paraId="650B81A7" w14:textId="77777777" w:rsidTr="00545A0A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6F85" w14:textId="77777777" w:rsidR="00A51270" w:rsidRDefault="00A51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D5F3F"/>
    <w:multiLevelType w:val="hybridMultilevel"/>
    <w:tmpl w:val="9702A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3CE4"/>
    <w:multiLevelType w:val="hybridMultilevel"/>
    <w:tmpl w:val="4A783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1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DA0098"/>
    <w:multiLevelType w:val="hybridMultilevel"/>
    <w:tmpl w:val="27C07C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34"/>
  </w:num>
  <w:num w:numId="2" w16cid:durableId="507524029">
    <w:abstractNumId w:val="30"/>
  </w:num>
  <w:num w:numId="3" w16cid:durableId="494801553">
    <w:abstractNumId w:val="6"/>
  </w:num>
  <w:num w:numId="4" w16cid:durableId="1699358443">
    <w:abstractNumId w:val="12"/>
  </w:num>
  <w:num w:numId="5" w16cid:durableId="1149131620">
    <w:abstractNumId w:val="5"/>
  </w:num>
  <w:num w:numId="6" w16cid:durableId="320037780">
    <w:abstractNumId w:val="16"/>
  </w:num>
  <w:num w:numId="7" w16cid:durableId="459223227">
    <w:abstractNumId w:val="15"/>
  </w:num>
  <w:num w:numId="8" w16cid:durableId="58092494">
    <w:abstractNumId w:val="2"/>
  </w:num>
  <w:num w:numId="9" w16cid:durableId="994603985">
    <w:abstractNumId w:val="23"/>
  </w:num>
  <w:num w:numId="10" w16cid:durableId="1102141835">
    <w:abstractNumId w:val="8"/>
  </w:num>
  <w:num w:numId="11" w16cid:durableId="1250119671">
    <w:abstractNumId w:val="20"/>
  </w:num>
  <w:num w:numId="12" w16cid:durableId="147021172">
    <w:abstractNumId w:val="29"/>
  </w:num>
  <w:num w:numId="13" w16cid:durableId="1874269551">
    <w:abstractNumId w:val="33"/>
  </w:num>
  <w:num w:numId="14" w16cid:durableId="1646009319">
    <w:abstractNumId w:val="19"/>
  </w:num>
  <w:num w:numId="15" w16cid:durableId="1764452013">
    <w:abstractNumId w:val="1"/>
  </w:num>
  <w:num w:numId="16" w16cid:durableId="879821191">
    <w:abstractNumId w:val="21"/>
  </w:num>
  <w:num w:numId="17" w16cid:durableId="963317391">
    <w:abstractNumId w:val="9"/>
  </w:num>
  <w:num w:numId="18" w16cid:durableId="656344650">
    <w:abstractNumId w:val="7"/>
  </w:num>
  <w:num w:numId="19" w16cid:durableId="940650845">
    <w:abstractNumId w:val="26"/>
    <w:lvlOverride w:ilvl="0">
      <w:startOverride w:val="1"/>
    </w:lvlOverride>
  </w:num>
  <w:num w:numId="20" w16cid:durableId="1769034958">
    <w:abstractNumId w:val="31"/>
  </w:num>
  <w:num w:numId="21" w16cid:durableId="1027830429">
    <w:abstractNumId w:val="0"/>
  </w:num>
  <w:num w:numId="22" w16cid:durableId="2082756353">
    <w:abstractNumId w:val="27"/>
  </w:num>
  <w:num w:numId="23" w16cid:durableId="343360880">
    <w:abstractNumId w:val="25"/>
  </w:num>
  <w:num w:numId="24" w16cid:durableId="480315137">
    <w:abstractNumId w:val="17"/>
  </w:num>
  <w:num w:numId="25" w16cid:durableId="14506617">
    <w:abstractNumId w:val="22"/>
  </w:num>
  <w:num w:numId="26" w16cid:durableId="738862451">
    <w:abstractNumId w:val="28"/>
  </w:num>
  <w:num w:numId="27" w16cid:durableId="1193416236">
    <w:abstractNumId w:val="4"/>
  </w:num>
  <w:num w:numId="28" w16cid:durableId="1132556406">
    <w:abstractNumId w:val="13"/>
  </w:num>
  <w:num w:numId="29" w16cid:durableId="299918275">
    <w:abstractNumId w:val="18"/>
  </w:num>
  <w:num w:numId="30" w16cid:durableId="991638020">
    <w:abstractNumId w:val="3"/>
  </w:num>
  <w:num w:numId="31" w16cid:durableId="1919123301">
    <w:abstractNumId w:val="10"/>
  </w:num>
  <w:num w:numId="32" w16cid:durableId="1826314713">
    <w:abstractNumId w:val="14"/>
  </w:num>
  <w:num w:numId="33" w16cid:durableId="1754013443">
    <w:abstractNumId w:val="32"/>
  </w:num>
  <w:num w:numId="34" w16cid:durableId="1302923582">
    <w:abstractNumId w:val="24"/>
  </w:num>
  <w:num w:numId="35" w16cid:durableId="666205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2896"/>
    <w:rsid w:val="00255FBD"/>
    <w:rsid w:val="00273363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D72E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45A0A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34F39"/>
    <w:rsid w:val="0075657F"/>
    <w:rsid w:val="00760B42"/>
    <w:rsid w:val="007637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53B4"/>
    <w:rsid w:val="00926577"/>
    <w:rsid w:val="00926F55"/>
    <w:rsid w:val="009315F9"/>
    <w:rsid w:val="0093341E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911"/>
    <w:rsid w:val="00A4526C"/>
    <w:rsid w:val="00A51270"/>
    <w:rsid w:val="00A86033"/>
    <w:rsid w:val="00AA0851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27946"/>
    <w:rsid w:val="00D30594"/>
    <w:rsid w:val="00D3407E"/>
    <w:rsid w:val="00D43730"/>
    <w:rsid w:val="00D67134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2573"/>
    <w:rsid w:val="00E46073"/>
    <w:rsid w:val="00E4722D"/>
    <w:rsid w:val="00E570F6"/>
    <w:rsid w:val="00E8457A"/>
    <w:rsid w:val="00E84A9E"/>
    <w:rsid w:val="00E924BF"/>
    <w:rsid w:val="00EC052A"/>
    <w:rsid w:val="00ED1450"/>
    <w:rsid w:val="00ED1F7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4795B"/>
    <w:rsid w:val="00F501FB"/>
    <w:rsid w:val="00F549DA"/>
    <w:rsid w:val="00F6184A"/>
    <w:rsid w:val="00F868B7"/>
    <w:rsid w:val="00F936B0"/>
    <w:rsid w:val="00FB1245"/>
    <w:rsid w:val="00FB1C15"/>
    <w:rsid w:val="00FB67DD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16</cp:revision>
  <cp:lastPrinted>2022-12-02T06:28:00Z</cp:lastPrinted>
  <dcterms:created xsi:type="dcterms:W3CDTF">2023-06-05T11:39:00Z</dcterms:created>
  <dcterms:modified xsi:type="dcterms:W3CDTF">2023-07-28T12:20:00Z</dcterms:modified>
</cp:coreProperties>
</file>