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560"/>
              <w:gridCol w:w="8674"/>
            </w:tblGrid>
            <w:tr w:rsidR="00A506A9" w:rsidRPr="00F273F7" w14:paraId="724C93CD" w14:textId="77777777" w:rsidTr="00705306">
              <w:trPr>
                <w:trHeight w:val="249"/>
              </w:trPr>
              <w:tc>
                <w:tcPr>
                  <w:tcW w:w="2560"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674"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705306">
              <w:trPr>
                <w:trHeight w:val="249"/>
              </w:trPr>
              <w:tc>
                <w:tcPr>
                  <w:tcW w:w="2560"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674"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705306">
              <w:trPr>
                <w:trHeight w:val="260"/>
              </w:trPr>
              <w:tc>
                <w:tcPr>
                  <w:tcW w:w="2560"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674"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705306">
              <w:trPr>
                <w:trHeight w:val="227"/>
              </w:trPr>
              <w:tc>
                <w:tcPr>
                  <w:tcW w:w="2560"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674" w:type="dxa"/>
                  <w:tcBorders>
                    <w:right w:val="single" w:sz="18" w:space="0" w:color="auto"/>
                  </w:tcBorders>
                </w:tcPr>
                <w:p w14:paraId="6C7ADB6D" w14:textId="30D889AD" w:rsidR="00A506A9" w:rsidRPr="00926FC4" w:rsidRDefault="00E20337" w:rsidP="00A506A9">
                  <w:pPr>
                    <w:rPr>
                      <w:rFonts w:ascii="Times New Roman" w:hAnsi="Times New Roman" w:cs="Times New Roman"/>
                      <w:sz w:val="24"/>
                      <w:szCs w:val="24"/>
                    </w:rPr>
                  </w:pPr>
                  <w:r w:rsidRPr="00926FC4">
                    <w:rPr>
                      <w:rFonts w:ascii="Times New Roman" w:hAnsi="Times New Roman" w:cs="Times New Roman"/>
                      <w:sz w:val="24"/>
                      <w:szCs w:val="24"/>
                    </w:rPr>
                    <w:t xml:space="preserve">Makine </w:t>
                  </w:r>
                  <w:r w:rsidR="00F10883" w:rsidRPr="00926FC4">
                    <w:rPr>
                      <w:rFonts w:ascii="Times New Roman" w:hAnsi="Times New Roman" w:cs="Times New Roman"/>
                      <w:sz w:val="24"/>
                      <w:szCs w:val="24"/>
                    </w:rPr>
                    <w:t xml:space="preserve">Teknikeri </w:t>
                  </w:r>
                </w:p>
              </w:tc>
            </w:tr>
            <w:tr w:rsidR="00A506A9" w:rsidRPr="00F273F7" w14:paraId="5F408E4E" w14:textId="77777777" w:rsidTr="00705306">
              <w:trPr>
                <w:trHeight w:val="249"/>
              </w:trPr>
              <w:tc>
                <w:tcPr>
                  <w:tcW w:w="2560"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674" w:type="dxa"/>
                  <w:tcBorders>
                    <w:right w:val="single" w:sz="18" w:space="0" w:color="auto"/>
                  </w:tcBorders>
                </w:tcPr>
                <w:p w14:paraId="2D638DB8" w14:textId="77777777" w:rsidR="00A506A9" w:rsidRPr="00926FC4" w:rsidRDefault="00A506A9" w:rsidP="00D06CC3">
                  <w:pPr>
                    <w:rPr>
                      <w:rFonts w:ascii="Times New Roman" w:hAnsi="Times New Roman" w:cs="Times New Roman"/>
                      <w:sz w:val="24"/>
                      <w:szCs w:val="24"/>
                    </w:rPr>
                  </w:pPr>
                </w:p>
              </w:tc>
            </w:tr>
            <w:tr w:rsidR="00A506A9" w:rsidRPr="00F273F7" w14:paraId="721C70C1" w14:textId="77777777" w:rsidTr="00705306">
              <w:trPr>
                <w:trHeight w:val="227"/>
              </w:trPr>
              <w:tc>
                <w:tcPr>
                  <w:tcW w:w="2560"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674" w:type="dxa"/>
                  <w:tcBorders>
                    <w:right w:val="single" w:sz="18" w:space="0" w:color="auto"/>
                  </w:tcBorders>
                </w:tcPr>
                <w:p w14:paraId="7CA8C863" w14:textId="034FCF4B" w:rsidR="00A506A9" w:rsidRPr="00926FC4" w:rsidRDefault="000D5A44" w:rsidP="00D06CC3">
                  <w:pPr>
                    <w:rPr>
                      <w:rFonts w:ascii="Times New Roman" w:hAnsi="Times New Roman" w:cs="Times New Roman"/>
                      <w:sz w:val="24"/>
                      <w:szCs w:val="24"/>
                    </w:rPr>
                  </w:pPr>
                  <w:r w:rsidRPr="00926FC4">
                    <w:rPr>
                      <w:rFonts w:ascii="Times New Roman" w:hAnsi="Times New Roman" w:cs="Times New Roman"/>
                      <w:sz w:val="24"/>
                      <w:szCs w:val="24"/>
                    </w:rPr>
                    <w:t xml:space="preserve">Birim Amiri  </w:t>
                  </w:r>
                </w:p>
              </w:tc>
            </w:tr>
            <w:tr w:rsidR="00A506A9" w:rsidRPr="00F273F7" w14:paraId="06651605" w14:textId="77777777" w:rsidTr="00705306">
              <w:trPr>
                <w:trHeight w:val="444"/>
              </w:trPr>
              <w:tc>
                <w:tcPr>
                  <w:tcW w:w="2560"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674"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Default="00266196" w:rsidP="00D06CC3">
            <w:pPr>
              <w:rPr>
                <w:rFonts w:ascii="Times New Roman" w:hAnsi="Times New Roman" w:cs="Times New Roman"/>
                <w:b/>
              </w:rPr>
            </w:pPr>
            <w:r w:rsidRPr="00266196">
              <w:rPr>
                <w:rFonts w:ascii="Times New Roman" w:hAnsi="Times New Roman" w:cs="Times New Roman"/>
                <w:b/>
              </w:rPr>
              <w:t>Görev Alanı</w:t>
            </w:r>
          </w:p>
          <w:p w14:paraId="0FD8A220" w14:textId="73B988C8" w:rsidR="00BD271D" w:rsidRPr="00404152" w:rsidRDefault="00082BFF" w:rsidP="00BD271D">
            <w:pPr>
              <w:jc w:val="both"/>
              <w:rPr>
                <w:rFonts w:ascii="Times New Roman" w:hAnsi="Times New Roman" w:cs="Times New Roman"/>
                <w:sz w:val="24"/>
                <w:szCs w:val="24"/>
              </w:rPr>
            </w:pPr>
            <w:r w:rsidRPr="00404152">
              <w:rPr>
                <w:rFonts w:ascii="Times New Roman" w:hAnsi="Times New Roman" w:cs="Times New Roman"/>
                <w:sz w:val="24"/>
                <w:szCs w:val="24"/>
              </w:rPr>
              <w:t>Kampüs genelinde</w:t>
            </w:r>
            <w:r w:rsidR="00705306" w:rsidRPr="00404152">
              <w:rPr>
                <w:rFonts w:ascii="Times New Roman" w:hAnsi="Times New Roman" w:cs="Times New Roman"/>
                <w:sz w:val="24"/>
                <w:szCs w:val="24"/>
              </w:rPr>
              <w:t xml:space="preserve"> </w:t>
            </w:r>
            <w:r w:rsidR="00BD271D" w:rsidRPr="00404152">
              <w:rPr>
                <w:rFonts w:ascii="Times New Roman" w:hAnsi="Times New Roman" w:cs="Times New Roman"/>
                <w:sz w:val="24"/>
                <w:szCs w:val="24"/>
              </w:rPr>
              <w:t>bina ve tesislerinin mekanik tesisat uygulama projelerinin ve teknik dokümanlarının hazırlanma aşamalarının yönetilmesi ve projelerin kurumun ihtiyaç ve gerekleri doğrultusunda hazırlanmasının sağlanması, yapım işl</w:t>
            </w:r>
            <w:r w:rsidR="00404152" w:rsidRPr="00404152">
              <w:rPr>
                <w:rFonts w:ascii="Times New Roman" w:hAnsi="Times New Roman" w:cs="Times New Roman"/>
                <w:sz w:val="24"/>
                <w:szCs w:val="24"/>
              </w:rPr>
              <w:t xml:space="preserve">erinin de bu doğrultuda </w:t>
            </w:r>
            <w:r w:rsidR="00BD271D" w:rsidRPr="00404152">
              <w:rPr>
                <w:rFonts w:ascii="Times New Roman" w:hAnsi="Times New Roman" w:cs="Times New Roman"/>
                <w:sz w:val="24"/>
                <w:szCs w:val="24"/>
              </w:rPr>
              <w:t xml:space="preserve"> yapılmasının sağlanması görevlerini Makine Mühendisi ile birlikte yürütür.</w:t>
            </w:r>
            <w:r w:rsidR="00F44987" w:rsidRPr="00404152">
              <w:rPr>
                <w:rFonts w:ascii="Times New Roman" w:hAnsi="Times New Roman" w:cs="Times New Roman"/>
                <w:sz w:val="24"/>
                <w:szCs w:val="24"/>
              </w:rPr>
              <w:t xml:space="preserve"> Mevcut  m</w:t>
            </w:r>
            <w:r w:rsidR="00F44987" w:rsidRPr="00404152">
              <w:rPr>
                <w:rFonts w:ascii="Times New Roman" w:hAnsi="Times New Roman" w:cs="Times New Roman"/>
                <w:sz w:val="24"/>
                <w:szCs w:val="24"/>
              </w:rPr>
              <w:t>ekanik sistemlerin, tesisat, ısınma, soğutma ve iklimlendirme sistemlerinin Bakım Onarım ve İşletmelerinin yapılması veya yaptırılması makine teknikerinin görevidir.</w:t>
            </w:r>
          </w:p>
          <w:p w14:paraId="5736A6BB" w14:textId="343A4474" w:rsidR="00BD271D" w:rsidRPr="00266196" w:rsidRDefault="00BD271D" w:rsidP="00BD271D">
            <w:pPr>
              <w:rPr>
                <w:rFonts w:ascii="Times New Roman" w:hAnsi="Times New Roman" w:cs="Times New Roman"/>
                <w:b/>
              </w:rPr>
            </w:pPr>
          </w:p>
          <w:p w14:paraId="7BECCEBD" w14:textId="77777777" w:rsidR="00E20337" w:rsidRDefault="00E20337" w:rsidP="00E20337">
            <w:pPr>
              <w:rPr>
                <w:rFonts w:ascii="Times New Roman" w:hAnsi="Times New Roman" w:cs="Times New Roman"/>
                <w:b/>
              </w:rPr>
            </w:pPr>
            <w:r w:rsidRPr="00E20337">
              <w:rPr>
                <w:rFonts w:ascii="Times New Roman" w:hAnsi="Times New Roman" w:cs="Times New Roman"/>
                <w:b/>
              </w:rPr>
              <w:t xml:space="preserve">Temel Görev ve Sorumlulukları </w:t>
            </w:r>
          </w:p>
          <w:p w14:paraId="1784D7CE" w14:textId="77777777" w:rsidR="00404152" w:rsidRPr="000D7C04" w:rsidRDefault="00404152" w:rsidP="00404152">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Kampus genelinde makine tesisat ihtiyacını karşılayan mevcut tesislerin işletme, bakım onarım ve yenilenmesi işlerinde görev almak.</w:t>
            </w:r>
            <w:r w:rsidRPr="000D7C04">
              <w:rPr>
                <w:rFonts w:ascii="Times New Roman" w:hAnsi="Times New Roman" w:cs="Times New Roman"/>
                <w:sz w:val="24"/>
                <w:szCs w:val="24"/>
              </w:rPr>
              <w:t xml:space="preserve">. </w:t>
            </w:r>
          </w:p>
          <w:p w14:paraId="5E57A944" w14:textId="77777777" w:rsidR="00404152" w:rsidRDefault="00404152" w:rsidP="00404152">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Görevlendirilmesi durumunda; Makine tesisat işlerinde işletme ve bakım onarım sorumlularının belirlediği manevraları uygulamak.</w:t>
            </w:r>
          </w:p>
          <w:p w14:paraId="64056EB7" w14:textId="77777777" w:rsidR="00404152" w:rsidRDefault="00404152" w:rsidP="00404152">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Görevlendirilmesi durumunda; Kampüs genelinde mevcut Makine tesisat sistemlerinin bakım onarım ve  işletmesini sağlamak, periyodik bakım planlarına uygun çalışmalar yapmak.</w:t>
            </w:r>
          </w:p>
          <w:p w14:paraId="3F755A97" w14:textId="77777777" w:rsidR="00404152" w:rsidRDefault="00404152" w:rsidP="0040415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Harran Üniversitesi merkez veya taşra yerleşkelerinde ve bağlı tüm birimlerdeki bütün makine tesisat sistemlerinde meydana gelen arızaların tespit edilmesi, giderilmesi ile ilgili çalışmaları planlamak ve takip etme çalışmalarında görev almak.</w:t>
            </w:r>
          </w:p>
          <w:p w14:paraId="77A02F35" w14:textId="77777777"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Kurumun yatırım programı planlamasına ilişkin, mesleğine ilişkin teknik ve teknolojik yenilikleri ve gelişmeleri araştırmak, Başkanlığın vizyonunu ve misyonunu benimsemek.</w:t>
            </w:r>
          </w:p>
          <w:p w14:paraId="573FEE6D" w14:textId="1B2AD0E7"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İhtiyaç halinde mesleği ile ilgili konularda teknik rapor düzenlemek.</w:t>
            </w:r>
          </w:p>
          <w:p w14:paraId="4AAAB446" w14:textId="549CEA89"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Kurumca yapımı planlanan yeni binaların mekanik tesisatı projeleri (Avan, uygulama, detay) ile ihale dokümanlarını diğer proje personeliyle koordineli olarak hazırlamak veya hizmet satın alarak hazırlatmak, hazırlanan dokümanları incelemek, gerekli düzeltmelerin yapılmasını sağlamak.</w:t>
            </w:r>
          </w:p>
          <w:p w14:paraId="11D2B1C2" w14:textId="22DE6196"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Yapımı planlanan inşaatların, mekanik tesisatı işlerini içeren yaklaşık maliyet hesaplarını ve pursantaj tablolarını ihaleye esas olacak şekilde hazırlamak veya hizmet satın alarak hazırlatmak, hazırlanan tabloları incelemek.</w:t>
            </w:r>
          </w:p>
          <w:p w14:paraId="5AFA0829" w14:textId="48528CD6"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Başkanlığın gerçekleştireceği Mal/Hizmet Alımı/Yapım İşi ihalelerine ilişkin işlerin yaklaşık maliyetini belirlemek, belirlenen yaklaşık maliyete göre yapılacak ihaleye esas belgeleri hazırlamak.</w:t>
            </w:r>
          </w:p>
          <w:p w14:paraId="4517FEEF" w14:textId="21F1C350"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İhale işlemlerinde verilen görev çerçevesinde ihale işlemlerini yürütmek, komisyonlarda görev almak.</w:t>
            </w:r>
          </w:p>
          <w:p w14:paraId="449C0232" w14:textId="52DE982C"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w:t>
            </w:r>
          </w:p>
          <w:p w14:paraId="300D1D2B" w14:textId="4080AE18"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p w14:paraId="0224CEC5" w14:textId="23A3ADF4"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 xml:space="preserve">İşin yer tesliminden geçici kabulüne kadar işin niteliği de göz önünde bulundurularak sözleşmesinde </w:t>
            </w:r>
            <w:r w:rsidRPr="00BD271D">
              <w:rPr>
                <w:rFonts w:ascii="Times New Roman" w:hAnsi="Times New Roman" w:cs="Times New Roman"/>
                <w:sz w:val="24"/>
                <w:szCs w:val="24"/>
              </w:rPr>
              <w:lastRenderedPageBreak/>
              <w:t>belirlenen teknik elemanlar için yüklenicinin sunduğu teknik personel taahhütnamesinin değerlendirmesini yapmak.</w:t>
            </w:r>
          </w:p>
          <w:p w14:paraId="591D0E5E" w14:textId="59553E4F"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Mekanik imalat oranlarının, işin sözleşmesindeki pursantaj oranlarına uygunluğunu kontrol etmek.</w:t>
            </w:r>
          </w:p>
          <w:p w14:paraId="4ABD0BD5" w14:textId="68860DFB"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Yüklenici ve kontrollüğün yapılan mekanik imalatlara karşılık birlikte düzenledikleri hak</w:t>
            </w:r>
            <w:r w:rsidR="00C51F73">
              <w:rPr>
                <w:rFonts w:ascii="Times New Roman" w:hAnsi="Times New Roman" w:cs="Times New Roman"/>
                <w:sz w:val="24"/>
                <w:szCs w:val="24"/>
              </w:rPr>
              <w:t xml:space="preserve"> </w:t>
            </w:r>
            <w:r w:rsidRPr="00BD271D">
              <w:rPr>
                <w:rFonts w:ascii="Times New Roman" w:hAnsi="Times New Roman" w:cs="Times New Roman"/>
                <w:sz w:val="24"/>
                <w:szCs w:val="24"/>
              </w:rPr>
              <w:t>ediş raporlarını, sözleşme ve ekleri doğrultusunda kontrol etmek.</w:t>
            </w:r>
          </w:p>
          <w:p w14:paraId="517BD97F" w14:textId="7362CCFD"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Ara ve son kesin hesap metrajlarına dahil edilen ölçü ve miktarlar ile ataşman değerlerinin gerekirse mahallinde incelemesini yapmak.</w:t>
            </w:r>
          </w:p>
          <w:p w14:paraId="1753C54A" w14:textId="305F0703"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Mekanik iş grubuyla ilgili ara kesin metrajları ve kesin hesaplarının kontrolünü ve incelemesini yapmak, incelemesi tamamlanmış kesin hesapların sonuçlarını yüklenicisine bildirmek, kesin hesap hakediş raporunun tahakkuka hazır duruma getirilmesini sağlamak.</w:t>
            </w:r>
          </w:p>
          <w:p w14:paraId="3A60F2AD" w14:textId="489CD6BB" w:rsidR="00BD271D" w:rsidRPr="00BD271D" w:rsidRDefault="00BD271D"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Binaların geçici kabul ve kesin kabulünde uzman üye olarak görev yapmak, muayene ve kontrol işlemleri</w:t>
            </w:r>
          </w:p>
          <w:p w14:paraId="4501DDDF" w14:textId="0F0DFCDF" w:rsidR="00BD271D" w:rsidRPr="00C51F73" w:rsidRDefault="000D5A44" w:rsidP="00404152">
            <w:pPr>
              <w:pStyle w:val="AralkYok"/>
              <w:numPr>
                <w:ilvl w:val="0"/>
                <w:numId w:val="6"/>
              </w:numPr>
              <w:jc w:val="both"/>
              <w:rPr>
                <w:rFonts w:ascii="Times New Roman" w:hAnsi="Times New Roman" w:cs="Times New Roman"/>
                <w:sz w:val="24"/>
                <w:szCs w:val="24"/>
              </w:rPr>
            </w:pPr>
            <w:r w:rsidRPr="00BD271D">
              <w:rPr>
                <w:rFonts w:ascii="Times New Roman" w:hAnsi="Times New Roman" w:cs="Times New Roman"/>
                <w:sz w:val="24"/>
                <w:szCs w:val="24"/>
              </w:rPr>
              <w:t>Faaliyetlerin en iyi şekilde sürdürebilmesi için gerekli karar verme ve sorun çözme niteliklerine sahip olmak</w:t>
            </w:r>
          </w:p>
          <w:p w14:paraId="5033C46D" w14:textId="583C937C" w:rsidR="00BD271D" w:rsidRDefault="00BD271D" w:rsidP="00404152">
            <w:pPr>
              <w:pStyle w:val="AralkYok"/>
              <w:numPr>
                <w:ilvl w:val="0"/>
                <w:numId w:val="6"/>
              </w:numPr>
              <w:jc w:val="both"/>
              <w:rPr>
                <w:rFonts w:ascii="Times New Roman" w:hAnsi="Times New Roman" w:cs="Times New Roman"/>
                <w:sz w:val="24"/>
                <w:szCs w:val="24"/>
              </w:rPr>
            </w:pPr>
            <w:r w:rsidRPr="00EB31DE">
              <w:rPr>
                <w:rFonts w:ascii="Times New Roman" w:hAnsi="Times New Roman" w:cs="Times New Roman"/>
                <w:sz w:val="24"/>
                <w:szCs w:val="24"/>
              </w:rPr>
              <w:t>Bağlı bulunduğu yönetici veya üst yöneticileri tarafından verilen diğer iş ve işlemleri ilgili mevzuat hükümlerine göre yapmak.</w:t>
            </w:r>
          </w:p>
          <w:p w14:paraId="6981CFB9" w14:textId="7ED45036" w:rsidR="00404152" w:rsidRPr="00404152" w:rsidRDefault="00404152" w:rsidP="00404152">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Amirlerinin verdiği ve meslek alanına giren işleri uygulamak veya uygulatmak.</w:t>
            </w:r>
          </w:p>
          <w:p w14:paraId="0ACD6590" w14:textId="77777777" w:rsidR="00266196" w:rsidRPr="00BD271D" w:rsidRDefault="00266196" w:rsidP="00BD271D">
            <w:pPr>
              <w:pStyle w:val="AralkYok"/>
              <w:jc w:val="both"/>
              <w:rPr>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A9F21D0" w14:textId="77777777" w:rsidR="000D5A44" w:rsidRDefault="000D5A44" w:rsidP="00404152">
            <w:pPr>
              <w:pStyle w:val="TableParagraph"/>
              <w:numPr>
                <w:ilvl w:val="0"/>
                <w:numId w:val="6"/>
              </w:numPr>
              <w:tabs>
                <w:tab w:val="left" w:pos="827"/>
                <w:tab w:val="left" w:pos="829"/>
              </w:tabs>
              <w:spacing w:before="124"/>
            </w:pPr>
            <w:r>
              <w:t>657 sayılı Devlet Memurları</w:t>
            </w:r>
            <w:r>
              <w:rPr>
                <w:spacing w:val="2"/>
              </w:rPr>
              <w:t xml:space="preserve"> </w:t>
            </w:r>
            <w:r>
              <w:t>Kanunu</w:t>
            </w:r>
          </w:p>
          <w:p w14:paraId="74EDFF9D" w14:textId="63531948" w:rsidR="00266196" w:rsidRDefault="000D5A44" w:rsidP="00404152">
            <w:pPr>
              <w:pStyle w:val="TableParagraph"/>
              <w:numPr>
                <w:ilvl w:val="0"/>
                <w:numId w:val="6"/>
              </w:numPr>
              <w:tabs>
                <w:tab w:val="left" w:pos="827"/>
                <w:tab w:val="left" w:pos="829"/>
              </w:tabs>
              <w:spacing w:before="124"/>
            </w:pPr>
            <w:r>
              <w:t>124 sayılı Yükseköğretim Üst Kuruluşları ile Yükseköğretim Kurumlarının İdari Teşkilatı Hakkında Kanun Hükmünde</w:t>
            </w:r>
            <w:r w:rsidRPr="000D5A44">
              <w:rPr>
                <w:spacing w:val="-1"/>
              </w:rPr>
              <w:t xml:space="preserve"> </w:t>
            </w:r>
            <w:r>
              <w:t>Kararname</w:t>
            </w:r>
          </w:p>
          <w:p w14:paraId="05FDC969" w14:textId="6357E876" w:rsidR="00F10883" w:rsidRDefault="00F10883" w:rsidP="00082BFF">
            <w:pPr>
              <w:pStyle w:val="TableParagraph"/>
              <w:tabs>
                <w:tab w:val="left" w:pos="827"/>
                <w:tab w:val="left" w:pos="829"/>
              </w:tabs>
              <w:spacing w:before="124"/>
            </w:pPr>
          </w:p>
          <w:p w14:paraId="28BEA9E2" w14:textId="09F9505C" w:rsidR="00705306" w:rsidRDefault="00705306" w:rsidP="00404152">
            <w:pPr>
              <w:pStyle w:val="TableParagraph"/>
              <w:tabs>
                <w:tab w:val="left" w:pos="827"/>
                <w:tab w:val="left" w:pos="829"/>
              </w:tabs>
              <w:spacing w:before="124"/>
              <w:ind w:left="0"/>
            </w:pPr>
          </w:p>
          <w:p w14:paraId="3C8C80D6" w14:textId="77777777" w:rsidR="00705306" w:rsidRPr="00F10883" w:rsidRDefault="00705306" w:rsidP="00082BFF">
            <w:pPr>
              <w:pStyle w:val="TableParagraph"/>
              <w:tabs>
                <w:tab w:val="left" w:pos="827"/>
                <w:tab w:val="left" w:pos="829"/>
              </w:tabs>
              <w:spacing w:before="124"/>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bookmarkStart w:id="0" w:name="_GoBack"/>
            <w:bookmarkEnd w:id="0"/>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8"/>
      <w:footerReference w:type="default" r:id="rId9"/>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63D20" w14:textId="77777777" w:rsidR="00F2690D" w:rsidRDefault="00F2690D" w:rsidP="002B2BC7">
      <w:r>
        <w:separator/>
      </w:r>
    </w:p>
  </w:endnote>
  <w:endnote w:type="continuationSeparator" w:id="0">
    <w:p w14:paraId="0264681A" w14:textId="77777777" w:rsidR="00F2690D" w:rsidRDefault="00F2690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705306" w14:paraId="6310820E" w14:textId="77777777" w:rsidTr="00977372">
      <w:trPr>
        <w:trHeight w:val="415"/>
      </w:trPr>
      <w:tc>
        <w:tcPr>
          <w:tcW w:w="2225" w:type="dxa"/>
          <w:tcBorders>
            <w:top w:val="single" w:sz="4" w:space="0" w:color="auto"/>
            <w:left w:val="single" w:sz="4" w:space="0" w:color="auto"/>
            <w:bottom w:val="single" w:sz="4" w:space="0" w:color="auto"/>
            <w:right w:val="single" w:sz="4" w:space="0" w:color="auto"/>
          </w:tcBorders>
          <w:hideMark/>
        </w:tcPr>
        <w:p w14:paraId="7AF53F47" w14:textId="77777777" w:rsidR="00705306" w:rsidRDefault="00705306" w:rsidP="00705306">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2D897BC2" w14:textId="77777777" w:rsidR="00705306" w:rsidRDefault="00705306" w:rsidP="00705306">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0E5D89C9" w14:textId="77777777" w:rsidR="00705306" w:rsidRDefault="00705306" w:rsidP="00705306">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357BA25C" w14:textId="77777777" w:rsidR="00705306" w:rsidRDefault="00705306" w:rsidP="00705306">
          <w:pPr>
            <w:tabs>
              <w:tab w:val="left" w:pos="4414"/>
            </w:tabs>
            <w:rPr>
              <w:b/>
              <w:szCs w:val="20"/>
            </w:rPr>
          </w:pPr>
          <w:r>
            <w:rPr>
              <w:noProof/>
              <w:lang w:eastAsia="tr-TR"/>
            </w:rPr>
            <w:drawing>
              <wp:inline distT="0" distB="0" distL="0" distR="0" wp14:anchorId="7B34BDAC" wp14:editId="315D5C0F">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05306" w14:paraId="6FB7DA0B" w14:textId="77777777" w:rsidTr="00977372">
      <w:trPr>
        <w:trHeight w:val="418"/>
      </w:trPr>
      <w:tc>
        <w:tcPr>
          <w:tcW w:w="2225" w:type="dxa"/>
          <w:tcBorders>
            <w:top w:val="single" w:sz="4" w:space="0" w:color="auto"/>
            <w:left w:val="single" w:sz="4" w:space="0" w:color="auto"/>
            <w:bottom w:val="single" w:sz="4" w:space="0" w:color="auto"/>
            <w:right w:val="single" w:sz="4" w:space="0" w:color="auto"/>
          </w:tcBorders>
          <w:hideMark/>
        </w:tcPr>
        <w:p w14:paraId="0B5A3CBD" w14:textId="77777777" w:rsidR="00705306" w:rsidRDefault="00705306" w:rsidP="00705306">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1FD8D67C" w14:textId="77777777" w:rsidR="00705306" w:rsidRDefault="00705306" w:rsidP="00705306">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5CA912E2" w14:textId="77777777" w:rsidR="00705306" w:rsidRDefault="00705306" w:rsidP="00705306">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65F03" w14:textId="77777777" w:rsidR="00705306" w:rsidRDefault="00705306" w:rsidP="00705306">
          <w:pPr>
            <w:widowControl/>
            <w:autoSpaceDE/>
            <w:autoSpaceDN/>
            <w:rPr>
              <w:b/>
              <w:szCs w:val="20"/>
            </w:rPr>
          </w:pPr>
        </w:p>
      </w:tc>
    </w:tr>
  </w:tbl>
  <w:p w14:paraId="34AE3D2F" w14:textId="082D431A" w:rsidR="002F63FF" w:rsidRDefault="002F63FF" w:rsidP="002F63FF">
    <w:pPr>
      <w:pStyle w:val="Altbilgi"/>
    </w:pPr>
  </w:p>
  <w:p w14:paraId="4B73DF96" w14:textId="4ED3890E" w:rsidR="00705306" w:rsidRDefault="00705306" w:rsidP="002F63FF">
    <w:pPr>
      <w:pStyle w:val="Altbilgi"/>
    </w:pPr>
  </w:p>
  <w:p w14:paraId="243DC63D" w14:textId="16FFCA03" w:rsidR="00705306" w:rsidRDefault="00705306" w:rsidP="002F63FF">
    <w:pPr>
      <w:pStyle w:val="Altbilgi"/>
    </w:pPr>
  </w:p>
  <w:p w14:paraId="6DF57FF2" w14:textId="77777777" w:rsidR="00705306" w:rsidRDefault="00705306" w:rsidP="002F63FF">
    <w:pPr>
      <w:pStyle w:val="Altbilgi"/>
    </w:pPr>
  </w:p>
  <w:p w14:paraId="3E5335B7" w14:textId="77777777" w:rsidR="007A4784" w:rsidRDefault="007A47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A8BB" w14:textId="77777777" w:rsidR="00F2690D" w:rsidRDefault="00F2690D" w:rsidP="002B2BC7">
      <w:r>
        <w:separator/>
      </w:r>
    </w:p>
  </w:footnote>
  <w:footnote w:type="continuationSeparator" w:id="0">
    <w:p w14:paraId="260B6494" w14:textId="77777777" w:rsidR="00F2690D" w:rsidRDefault="00F2690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B378B26" w14:textId="25F535E5" w:rsidR="00705306" w:rsidRPr="00705306" w:rsidRDefault="00404152"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 xml:space="preserve">MAKİNE </w:t>
          </w:r>
          <w:r w:rsidR="00E20337" w:rsidRPr="00705306">
            <w:rPr>
              <w:rFonts w:ascii="Times New Roman" w:hAnsi="Times New Roman" w:cs="Times New Roman"/>
              <w:b/>
              <w:sz w:val="24"/>
              <w:szCs w:val="24"/>
            </w:rPr>
            <w:t>TEKNİKERİ</w:t>
          </w:r>
          <w:r w:rsidR="000D5A44" w:rsidRPr="00705306">
            <w:rPr>
              <w:rFonts w:ascii="Times New Roman" w:hAnsi="Times New Roman" w:cs="Times New Roman"/>
              <w:b/>
              <w:sz w:val="24"/>
              <w:szCs w:val="24"/>
            </w:rPr>
            <w:t xml:space="preserve"> </w:t>
          </w:r>
        </w:p>
        <w:p w14:paraId="58DD0ADA" w14:textId="421E3081" w:rsidR="00266196" w:rsidRPr="000C38DC" w:rsidRDefault="000D5A44" w:rsidP="000C38DC">
          <w:pPr>
            <w:tabs>
              <w:tab w:val="left" w:pos="4809"/>
            </w:tabs>
            <w:jc w:val="center"/>
            <w:rPr>
              <w:rFonts w:ascii="Times New Roman" w:hAnsi="Times New Roman" w:cs="Times New Roman"/>
              <w:b/>
              <w:sz w:val="24"/>
              <w:szCs w:val="24"/>
            </w:rPr>
          </w:pPr>
          <w:r w:rsidRPr="00705306">
            <w:rPr>
              <w:rFonts w:ascii="Times New Roman" w:hAnsi="Times New Roman" w:cs="Times New Roman"/>
              <w:b/>
              <w:sz w:val="24"/>
              <w:szCs w:val="24"/>
            </w:rPr>
            <w:t xml:space="preserve">GÖREV TANIMI  </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0073A5A"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C375E6">
            <w:rPr>
              <w:rFonts w:ascii="Times New Roman" w:hAnsi="Times New Roman" w:cs="Times New Roman"/>
              <w:b/>
              <w:sz w:val="18"/>
              <w:szCs w:val="18"/>
            </w:rPr>
            <w:t>97</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14A00678"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404152">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404152">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6A3B82"/>
    <w:multiLevelType w:val="hybridMultilevel"/>
    <w:tmpl w:val="8B1E9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BB5AEC"/>
    <w:multiLevelType w:val="hybridMultilevel"/>
    <w:tmpl w:val="9FCCC2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754F2ED3"/>
    <w:multiLevelType w:val="hybridMultilevel"/>
    <w:tmpl w:val="2842B16A"/>
    <w:lvl w:ilvl="0" w:tplc="264460D2">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E6778DB"/>
    <w:multiLevelType w:val="hybridMultilevel"/>
    <w:tmpl w:val="87CC0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1119"/>
    <w:rsid w:val="000756BA"/>
    <w:rsid w:val="000765FB"/>
    <w:rsid w:val="00082BFF"/>
    <w:rsid w:val="00090518"/>
    <w:rsid w:val="000C38DC"/>
    <w:rsid w:val="000D5A44"/>
    <w:rsid w:val="000E7F62"/>
    <w:rsid w:val="001329B4"/>
    <w:rsid w:val="001416C4"/>
    <w:rsid w:val="00152702"/>
    <w:rsid w:val="00166F76"/>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4152"/>
    <w:rsid w:val="00407A6D"/>
    <w:rsid w:val="0042577E"/>
    <w:rsid w:val="0043464C"/>
    <w:rsid w:val="00451A01"/>
    <w:rsid w:val="0046184A"/>
    <w:rsid w:val="004B7BFE"/>
    <w:rsid w:val="004D2BF9"/>
    <w:rsid w:val="004D3285"/>
    <w:rsid w:val="00515931"/>
    <w:rsid w:val="00517FAC"/>
    <w:rsid w:val="0058377F"/>
    <w:rsid w:val="005D5A18"/>
    <w:rsid w:val="005E2193"/>
    <w:rsid w:val="00617749"/>
    <w:rsid w:val="0067007B"/>
    <w:rsid w:val="006934C2"/>
    <w:rsid w:val="00705306"/>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6FC4"/>
    <w:rsid w:val="0092731F"/>
    <w:rsid w:val="0093355E"/>
    <w:rsid w:val="00967B24"/>
    <w:rsid w:val="00983812"/>
    <w:rsid w:val="009D0ACB"/>
    <w:rsid w:val="009E0FD7"/>
    <w:rsid w:val="009F3E9D"/>
    <w:rsid w:val="00A36B58"/>
    <w:rsid w:val="00A506A9"/>
    <w:rsid w:val="00A831A8"/>
    <w:rsid w:val="00A866F1"/>
    <w:rsid w:val="00AC3375"/>
    <w:rsid w:val="00AD1A7D"/>
    <w:rsid w:val="00AD6699"/>
    <w:rsid w:val="00B02952"/>
    <w:rsid w:val="00B31A6E"/>
    <w:rsid w:val="00B45D14"/>
    <w:rsid w:val="00BA66CA"/>
    <w:rsid w:val="00BD271D"/>
    <w:rsid w:val="00BF6961"/>
    <w:rsid w:val="00C375E6"/>
    <w:rsid w:val="00C51F73"/>
    <w:rsid w:val="00CA38DD"/>
    <w:rsid w:val="00D425A6"/>
    <w:rsid w:val="00DA0605"/>
    <w:rsid w:val="00DA07A3"/>
    <w:rsid w:val="00DC29D5"/>
    <w:rsid w:val="00DF6798"/>
    <w:rsid w:val="00E17654"/>
    <w:rsid w:val="00E20337"/>
    <w:rsid w:val="00E4062A"/>
    <w:rsid w:val="00E5606A"/>
    <w:rsid w:val="00E8032A"/>
    <w:rsid w:val="00E85595"/>
    <w:rsid w:val="00E85788"/>
    <w:rsid w:val="00EB31DE"/>
    <w:rsid w:val="00ED11FF"/>
    <w:rsid w:val="00EE6049"/>
    <w:rsid w:val="00F10883"/>
    <w:rsid w:val="00F234F3"/>
    <w:rsid w:val="00F2690D"/>
    <w:rsid w:val="00F351DC"/>
    <w:rsid w:val="00F44987"/>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 w:type="paragraph" w:styleId="AralkYok">
    <w:name w:val="No Spacing"/>
    <w:uiPriority w:val="1"/>
    <w:qFormat/>
    <w:rsid w:val="00BD271D"/>
    <w:pPr>
      <w:widowControl w:val="0"/>
      <w:autoSpaceDE w:val="0"/>
      <w:autoSpaceDN w:val="0"/>
      <w:spacing w:after="0" w:line="240" w:lineRule="auto"/>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 w:type="paragraph" w:styleId="AralkYok">
    <w:name w:val="No Spacing"/>
    <w:uiPriority w:val="1"/>
    <w:qFormat/>
    <w:rsid w:val="00BD271D"/>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harran</cp:lastModifiedBy>
  <cp:revision>2</cp:revision>
  <cp:lastPrinted>2021-04-08T05:58:00Z</cp:lastPrinted>
  <dcterms:created xsi:type="dcterms:W3CDTF">2021-10-11T08:08:00Z</dcterms:created>
  <dcterms:modified xsi:type="dcterms:W3CDTF">2021-10-11T08:08:00Z</dcterms:modified>
</cp:coreProperties>
</file>