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7F4988" w:rsidTr="00EC3879">
        <w:trPr>
          <w:trHeight w:val="11903"/>
        </w:trPr>
        <w:tc>
          <w:tcPr>
            <w:tcW w:w="10986" w:type="dxa"/>
          </w:tcPr>
          <w:tbl>
            <w:tblPr>
              <w:tblStyle w:val="TabloKlavuzu"/>
              <w:tblW w:w="11422" w:type="dxa"/>
              <w:tblLook w:val="04A0" w:firstRow="1" w:lastRow="0" w:firstColumn="1" w:lastColumn="0" w:noHBand="0" w:noVBand="1"/>
            </w:tblPr>
            <w:tblGrid>
              <w:gridCol w:w="2251"/>
              <w:gridCol w:w="9171"/>
            </w:tblGrid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Tahir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Beylem</w:t>
                  </w:r>
                  <w:proofErr w:type="spellEnd"/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ve Mali İşler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EE1DDB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EE1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89096C" w:rsidRPr="0062735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tahirbeylem@harran.edu.tr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1C6A4E" w:rsidRPr="002371B1" w:rsidTr="001C6A4E">
              <w:trPr>
                <w:trHeight w:val="394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>
              <w:t>Harran Üniversitesi üst yönetimi tarafından belirlenen amaç ve ilkelere uygun olarak</w:t>
            </w:r>
            <w:r w:rsidR="00EC3879">
              <w:t>; Enstitünün Mali ve satın alma</w:t>
            </w:r>
            <w:r>
              <w:t xml:space="preserve"> İşlerini Yürütmek ( Tahakkuk-Satın Alma )</w:t>
            </w:r>
          </w:p>
          <w:p w:rsidR="007F4988" w:rsidRPr="00AB2874" w:rsidRDefault="007F4988" w:rsidP="007F4988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7F4988" w:rsidRDefault="007F4988" w:rsidP="007F4988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  <w:bookmarkStart w:id="0" w:name="_GoBack"/>
            <w:bookmarkEnd w:id="0"/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Maaşların hazırlanması ödenmesi ile ilgili takip,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Derece ve terfi ilerlemesi gelenlerin güncellenmesi,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Aile yardımı beyannamesi ve takibi, Doğum ve Ölüm yardımı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Terfilerden doğan maaş farklarının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Maaşı takipli personelin icra takibi, İcra yazışmaları, Rektörlük yazışmaları (Maaş ve ödemelerle ilgili) </w:t>
            </w:r>
          </w:p>
          <w:p w:rsidR="007F4988" w:rsidRPr="00C761DB" w:rsidRDefault="007F4988" w:rsidP="004D1F04">
            <w:pPr>
              <w:pStyle w:val="TableParagraph"/>
              <w:spacing w:line="276" w:lineRule="auto"/>
              <w:ind w:left="426"/>
              <w:rPr>
                <w:sz w:val="20"/>
                <w:szCs w:val="20"/>
              </w:rPr>
            </w:pPr>
            <w:r>
              <w:t xml:space="preserve">• </w:t>
            </w:r>
            <w:proofErr w:type="spellStart"/>
            <w:r>
              <w:t>SGK’ya</w:t>
            </w:r>
            <w:proofErr w:type="spellEnd"/>
            <w:r>
              <w:t xml:space="preserve"> her ay kesenek aktarımlı yapılması</w:t>
            </w:r>
            <w:r w:rsidRPr="00C761DB">
              <w:rPr>
                <w:sz w:val="20"/>
                <w:szCs w:val="20"/>
              </w:rPr>
              <w:t xml:space="preserve">, (İnternetten eski ve yeni personel ve ücretsiz izinli olanlar için ayrı ayrı)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Emekli kesenek takibi ve kontrolü, Maaşlı ve maaşsız personelin kesenek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Dil tazminat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Asgari ücret ve özel gider indirimi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Maaşlardaki kira kesintilerin takibi, Maaşlardaki kefalet kesintilerini takibi, </w:t>
            </w:r>
          </w:p>
          <w:p w:rsidR="007F4988" w:rsidRDefault="008E3CC5" w:rsidP="004D1F04">
            <w:pPr>
              <w:pStyle w:val="TableParagraph"/>
              <w:spacing w:line="276" w:lineRule="auto"/>
              <w:ind w:left="426"/>
            </w:pPr>
            <w:r>
              <w:t>• Genel olarak bütün maaş,</w:t>
            </w:r>
            <w:r w:rsidR="007F4988">
              <w:t xml:space="preserve">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Özel Sigortaların takip edilmesi.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Mesai puantajlarının takibi ve çizelgelerinin hazırlanması.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Ek ders puantaj tablosu oluşturulması ve kontrolü, Ek derslerin ödenmesi (birinci öğretim ve ikinci öğretim)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Bireysel emeklilik takibi ve ödemelerin aktarılması,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Ayrılan ve gelen personel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Nakil için bilgi ve onay işlemi, İşten ayrılan, görevine son verilen personele borç onayı,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Bütün ödemeler için Tahakkuk yapılması (e-bütçe internet üzerinden)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Tezsiz yüksek lisans ve Yaz Okulu ek ders kontrolü ve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6 yaşından küçük çocukların, çocuk yardımı ödenmesinin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Ödemesi hazırlanan evrakların ödenmesi için gereken takibin yapılması ve banka listesinin hazırlanması,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Öğretim üyelerinin tez savunma, doktora yeterlik sınavları için üniversite dışından gelen jüri üyelerinin geçici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görev</w:t>
            </w:r>
            <w:proofErr w:type="gramEnd"/>
            <w:r>
              <w:t xml:space="preserve"> yolluklarının takibi ve tahakkukunun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Geçmiş yıllara dönüş çeşitli belge ve ödemelerin cevaplandırılması,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Ders telafi Yönetim Kurulu Kararlarının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Çeşitli Memur Sendikalarına Üye personelin özlük haklarının takip edilmesi, her ay düzenli bir şekilde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yazışmaları</w:t>
            </w:r>
            <w:proofErr w:type="gramEnd"/>
            <w:r>
              <w:t xml:space="preserve"> ve kesinti listelerinin gönderilmesi,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Enstitünün, Mal ve Hizmet Alımlarının İş ve İşlemlerinin yapılması ve sonuçlandırılmasını sağlamak,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Tüketime yönelik malzemelerin satın alması ile ilgili işlemleri takip etmek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Sorumluluğu altındaki satın alma işlerinin ödeme durumları, ödeneklerin takibi ve mali ve teknik olarak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gerçekleşmesi</w:t>
            </w:r>
            <w:proofErr w:type="gramEnd"/>
            <w:r>
              <w:t xml:space="preserve"> gereken durumlarla ilgili kayıtları tutmak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Her Harcama İçin Teklif Ve İstek Belgesinin Hazırlanması, Satın Alma Komisyonunca Piyasa Araştırmasının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Yapılarak Piyasa Araştırma Tutanağının Hazırlanması, Onay Belgesinin Düzenlenmesi, Alınan Malzemenin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lastRenderedPageBreak/>
              <w:t xml:space="preserve">   İlgili Birime Teslimatının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Satın alma iç-dış yazışmalarının hazırlanmasını sağlanmak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7F4988" w:rsidRPr="00241386" w:rsidRDefault="007F4988" w:rsidP="007F4988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7F4988" w:rsidRDefault="007F4988" w:rsidP="007F498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  <w:r>
              <w:t>• 657 sayılı Devlet Memurları Kanunu’nda belirtilen şartları taşımak</w:t>
            </w:r>
          </w:p>
          <w:p w:rsidR="007F4988" w:rsidRPr="00241386" w:rsidRDefault="007F4988" w:rsidP="007F4988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7F4988" w:rsidRPr="008766B5" w:rsidRDefault="007F4988" w:rsidP="007F4988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EA345D" w:rsidRPr="00F273F7" w:rsidRDefault="00EA345D" w:rsidP="00EA34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DC29D5" w:rsidRPr="0000557C" w:rsidRDefault="00EA345D" w:rsidP="0000557C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D6769">
        <w:rPr>
          <w:rFonts w:ascii="Times New Roman" w:hAnsi="Times New Roman" w:cs="Times New Roman"/>
          <w:sz w:val="18"/>
          <w:szCs w:val="18"/>
        </w:rPr>
        <w:t>Tahir BEYLEM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027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C3879">
        <w:rPr>
          <w:rFonts w:ascii="Times New Roman" w:hAnsi="Times New Roman" w:cs="Times New Roman"/>
          <w:sz w:val="18"/>
          <w:szCs w:val="18"/>
        </w:rPr>
        <w:t xml:space="preserve"> Tarih :      /05/2021</w:t>
      </w:r>
    </w:p>
    <w:sectPr w:rsidR="00DC29D5" w:rsidRPr="0000557C" w:rsidSect="00EC3879">
      <w:headerReference w:type="default" r:id="rId8"/>
      <w:footerReference w:type="default" r:id="rId9"/>
      <w:pgSz w:w="12472" w:h="16781"/>
      <w:pgMar w:top="598" w:right="851" w:bottom="244" w:left="851" w:header="284" w:footer="10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39" w:rsidRDefault="00CF1239" w:rsidP="002B2BC7">
      <w:r>
        <w:separator/>
      </w:r>
    </w:p>
  </w:endnote>
  <w:endnote w:type="continuationSeparator" w:id="0">
    <w:p w:rsidR="00CF1239" w:rsidRDefault="00CF12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C6A4E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885B64C" wp14:editId="0CAF431A">
                <wp:extent cx="1162050" cy="438150"/>
                <wp:effectExtent l="0" t="0" r="0" b="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6A4E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A4E" w:rsidRDefault="001C6A4E" w:rsidP="001C6A4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6A4E" w:rsidRDefault="001C6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39" w:rsidRDefault="00CF1239" w:rsidP="002B2BC7">
      <w:r>
        <w:separator/>
      </w:r>
    </w:p>
  </w:footnote>
  <w:footnote w:type="continuationSeparator" w:id="0">
    <w:p w:rsidR="00CF1239" w:rsidRDefault="00CF12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42" w:type="dxa"/>
      <w:tblLook w:val="04A0" w:firstRow="1" w:lastRow="0" w:firstColumn="1" w:lastColumn="0" w:noHBand="0" w:noVBand="1"/>
    </w:tblPr>
    <w:tblGrid>
      <w:gridCol w:w="2158"/>
      <w:gridCol w:w="5155"/>
      <w:gridCol w:w="234"/>
      <w:gridCol w:w="1622"/>
      <w:gridCol w:w="1673"/>
    </w:tblGrid>
    <w:tr w:rsidR="002B2BC7" w:rsidTr="001931A0">
      <w:trPr>
        <w:trHeight w:val="152"/>
      </w:trPr>
      <w:tc>
        <w:tcPr>
          <w:tcW w:w="2158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5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931A0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931A0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EC3879" w:rsidRPr="001931A0" w:rsidRDefault="00EC3879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SOSYAL BİLİMLER ENSTİTÜSÜ</w:t>
          </w:r>
        </w:p>
        <w:p w:rsidR="001931A0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MALİ İŞLER (TAHAKKUK) VE </w:t>
          </w:r>
        </w:p>
        <w:p w:rsidR="00B30134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SATIN ALMA</w:t>
          </w:r>
          <w:r w:rsidR="00885B87"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MEMURU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B30134" w:rsidRPr="001931A0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9096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931A0">
      <w:trPr>
        <w:trHeight w:val="49"/>
      </w:trPr>
      <w:tc>
        <w:tcPr>
          <w:tcW w:w="215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9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D6769"/>
    <w:rsid w:val="000D6ED2"/>
    <w:rsid w:val="000E7F62"/>
    <w:rsid w:val="001725C7"/>
    <w:rsid w:val="001931A0"/>
    <w:rsid w:val="00197A6A"/>
    <w:rsid w:val="001C6A4E"/>
    <w:rsid w:val="001D7A35"/>
    <w:rsid w:val="0023044B"/>
    <w:rsid w:val="00241386"/>
    <w:rsid w:val="002752C1"/>
    <w:rsid w:val="002B2BC7"/>
    <w:rsid w:val="002C519C"/>
    <w:rsid w:val="002E7116"/>
    <w:rsid w:val="003042A4"/>
    <w:rsid w:val="003170FC"/>
    <w:rsid w:val="00386DF4"/>
    <w:rsid w:val="003928B5"/>
    <w:rsid w:val="003B19DA"/>
    <w:rsid w:val="00407A6D"/>
    <w:rsid w:val="0042577E"/>
    <w:rsid w:val="00485AE1"/>
    <w:rsid w:val="004C3660"/>
    <w:rsid w:val="004D1F04"/>
    <w:rsid w:val="004E1EBD"/>
    <w:rsid w:val="004F1E06"/>
    <w:rsid w:val="00500279"/>
    <w:rsid w:val="005172C3"/>
    <w:rsid w:val="0058377F"/>
    <w:rsid w:val="005D5A18"/>
    <w:rsid w:val="00617749"/>
    <w:rsid w:val="0065218A"/>
    <w:rsid w:val="00685985"/>
    <w:rsid w:val="006934C2"/>
    <w:rsid w:val="006A0AEE"/>
    <w:rsid w:val="006B4A8C"/>
    <w:rsid w:val="00730C23"/>
    <w:rsid w:val="00745301"/>
    <w:rsid w:val="00747EAF"/>
    <w:rsid w:val="00775EF7"/>
    <w:rsid w:val="007A491B"/>
    <w:rsid w:val="007F4988"/>
    <w:rsid w:val="00806EC0"/>
    <w:rsid w:val="008727CB"/>
    <w:rsid w:val="00873AE1"/>
    <w:rsid w:val="008766B5"/>
    <w:rsid w:val="00885B87"/>
    <w:rsid w:val="0089096C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3068"/>
    <w:rsid w:val="00AB30CE"/>
    <w:rsid w:val="00AC052B"/>
    <w:rsid w:val="00AC3375"/>
    <w:rsid w:val="00AD0719"/>
    <w:rsid w:val="00B02952"/>
    <w:rsid w:val="00B11B37"/>
    <w:rsid w:val="00B30134"/>
    <w:rsid w:val="00B31A6E"/>
    <w:rsid w:val="00B45D14"/>
    <w:rsid w:val="00B52F98"/>
    <w:rsid w:val="00C7340A"/>
    <w:rsid w:val="00C761DB"/>
    <w:rsid w:val="00CF1239"/>
    <w:rsid w:val="00D425A6"/>
    <w:rsid w:val="00D849D6"/>
    <w:rsid w:val="00DB4A01"/>
    <w:rsid w:val="00DC29D5"/>
    <w:rsid w:val="00DE3161"/>
    <w:rsid w:val="00DF6798"/>
    <w:rsid w:val="00E00B56"/>
    <w:rsid w:val="00E17654"/>
    <w:rsid w:val="00E5606A"/>
    <w:rsid w:val="00E66D47"/>
    <w:rsid w:val="00E82985"/>
    <w:rsid w:val="00EA345D"/>
    <w:rsid w:val="00EC3879"/>
    <w:rsid w:val="00EE1DDB"/>
    <w:rsid w:val="00F22F80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34C75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1C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irbeylem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80</cp:revision>
  <cp:lastPrinted>2021-04-08T05:58:00Z</cp:lastPrinted>
  <dcterms:created xsi:type="dcterms:W3CDTF">2021-04-07T13:06:00Z</dcterms:created>
  <dcterms:modified xsi:type="dcterms:W3CDTF">2021-08-09T09:16:00Z</dcterms:modified>
</cp:coreProperties>
</file>