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3A4C4B2C" w:rsidR="00A506A9" w:rsidRPr="005341CF" w:rsidRDefault="00A86E7D" w:rsidP="00A506A9">
                  <w:pPr>
                    <w:rPr>
                      <w:sz w:val="20"/>
                      <w:szCs w:val="20"/>
                    </w:rPr>
                  </w:pPr>
                  <w:r>
                    <w:t>Taşınır Kayıt Kontrol Yetkilisi</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2BFEB11B" w:rsidR="00A506A9" w:rsidRPr="005341CF" w:rsidRDefault="00A86E7D" w:rsidP="00D06CC3">
                  <w:pPr>
                    <w:rPr>
                      <w:rFonts w:ascii="Times New Roman" w:hAnsi="Times New Roman" w:cs="Times New Roman"/>
                      <w:sz w:val="20"/>
                      <w:szCs w:val="20"/>
                    </w:rPr>
                  </w:pPr>
                  <w:r>
                    <w:t xml:space="preserve">Birim Amiri   </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Pr="00266196" w:rsidRDefault="00266196" w:rsidP="00D06CC3">
            <w:pPr>
              <w:rPr>
                <w:rFonts w:ascii="Times New Roman" w:hAnsi="Times New Roman" w:cs="Times New Roman"/>
                <w:b/>
              </w:rPr>
            </w:pPr>
            <w:r w:rsidRPr="00266196">
              <w:rPr>
                <w:rFonts w:ascii="Times New Roman" w:hAnsi="Times New Roman" w:cs="Times New Roman"/>
                <w:b/>
              </w:rPr>
              <w:t>Görev Alanı</w:t>
            </w:r>
          </w:p>
          <w:p w14:paraId="60F22532" w14:textId="77777777" w:rsidR="00A86E7D" w:rsidRDefault="00A86E7D" w:rsidP="00A86E7D">
            <w:pPr>
              <w:pStyle w:val="TableParagraph"/>
              <w:jc w:val="both"/>
              <w:rPr>
                <w:color w:val="000000"/>
              </w:rPr>
            </w:pPr>
            <w:r w:rsidRPr="006010D4">
              <w:rPr>
                <w:color w:val="000000"/>
              </w:rPr>
              <w:t>Taşınır kontrol yetkilisi: Taşınır kayıt yetkilisinin yapmış olduğu kayıt ve işlemler ile düzenlediği belge ve cetvellerin mevzuata ve mali tablolara uygunluğunu kontrol eden, Harcama Birimi Taşınır Mal Yönetim Hesabı Cetvelini imzalayan ve bu konularda harcama yetkilisin</w:t>
            </w:r>
            <w:r>
              <w:rPr>
                <w:color w:val="000000"/>
              </w:rPr>
              <w:t>e karşı sorumlu olan görevli.</w:t>
            </w:r>
          </w:p>
          <w:p w14:paraId="6E4FD799" w14:textId="77777777" w:rsidR="00266196" w:rsidRPr="00266196" w:rsidRDefault="00266196" w:rsidP="00D06CC3">
            <w:pPr>
              <w:rPr>
                <w:rFonts w:ascii="Times New Roman" w:hAnsi="Times New Roman"/>
                <w:sz w:val="28"/>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15EDD1E6" w14:textId="77777777" w:rsidR="00A86E7D" w:rsidRPr="006010D4" w:rsidRDefault="00A86E7D" w:rsidP="00A86E7D">
            <w:pPr>
              <w:pStyle w:val="TableParagraph"/>
              <w:numPr>
                <w:ilvl w:val="0"/>
                <w:numId w:val="3"/>
              </w:numPr>
              <w:spacing w:before="2"/>
            </w:pPr>
            <w:r w:rsidRPr="006010D4">
              <w:t>Taşınır kayıt ve işlemleri ile ilgili olarak düzenlenen belge ve cetvellerin mevzuata ve mali tablolara uygunluğunu kontrol etmek.</w:t>
            </w:r>
          </w:p>
          <w:p w14:paraId="5F9A2AD6" w14:textId="77777777" w:rsidR="00A86E7D" w:rsidRPr="006010D4" w:rsidRDefault="00A86E7D" w:rsidP="00A86E7D">
            <w:pPr>
              <w:pStyle w:val="TableParagraph"/>
              <w:numPr>
                <w:ilvl w:val="0"/>
                <w:numId w:val="3"/>
              </w:numPr>
              <w:spacing w:before="2"/>
            </w:pPr>
            <w:r w:rsidRPr="006010D4">
              <w:t>Harcama Birimi Taşınır Mal Yönetim Hesabı Cetvelini imzalayarak harcama yetkilisine sunmak.</w:t>
            </w:r>
          </w:p>
          <w:p w14:paraId="386A3C1E" w14:textId="77777777" w:rsidR="00A86E7D" w:rsidRPr="006010D4" w:rsidRDefault="00A86E7D" w:rsidP="00A86E7D">
            <w:pPr>
              <w:pStyle w:val="TableParagraph"/>
              <w:numPr>
                <w:ilvl w:val="0"/>
                <w:numId w:val="3"/>
              </w:numPr>
              <w:spacing w:before="2"/>
            </w:pPr>
            <w:r w:rsidRPr="006010D4">
              <w:t>Taşınır kayıt yetkilileri ile taşınır kontrol yetkilileri, düzenledikleri ve imzaladıkları belge ve cetvellerin doğruluğundan harcama yetkilisine karşı birlikte sorumludur.</w:t>
            </w:r>
          </w:p>
          <w:p w14:paraId="5E9125B6" w14:textId="77777777" w:rsidR="00A86E7D" w:rsidRPr="006010D4" w:rsidRDefault="00A86E7D" w:rsidP="00A86E7D">
            <w:pPr>
              <w:pStyle w:val="ListeParagraf"/>
              <w:widowControl/>
              <w:numPr>
                <w:ilvl w:val="0"/>
                <w:numId w:val="3"/>
              </w:numPr>
              <w:autoSpaceDE/>
              <w:autoSpaceDN/>
              <w:spacing w:line="360" w:lineRule="auto"/>
              <w:jc w:val="both"/>
              <w:rPr>
                <w:rFonts w:ascii="Times New Roman" w:eastAsia="Calibri" w:hAnsi="Times New Roman" w:cs="Times New Roman"/>
              </w:rPr>
            </w:pPr>
            <w:r w:rsidRPr="006010D4">
              <w:rPr>
                <w:rFonts w:ascii="Times New Roman" w:eastAsia="Calibri" w:hAnsi="Times New Roman" w:cs="Times New Roman"/>
              </w:rPr>
              <w:t>Harcama Birimince edinilen taşınırlardan muayene ve kabulü yapılanları cins ve niteliklerine göre sayarak, tartarak, ölçerek teslim alınmasını, doğrudan tüketilmeyen ve kullanıma verilmeyen taşınırları sorumluluğundaki ambarlarda muhafaza edilmesini sağlamak.</w:t>
            </w:r>
          </w:p>
          <w:p w14:paraId="016096A8" w14:textId="77777777" w:rsidR="00A86E7D" w:rsidRPr="006010D4" w:rsidRDefault="00A86E7D" w:rsidP="00A86E7D">
            <w:pPr>
              <w:pStyle w:val="ListeParagraf"/>
              <w:widowControl/>
              <w:numPr>
                <w:ilvl w:val="0"/>
                <w:numId w:val="3"/>
              </w:numPr>
              <w:autoSpaceDE/>
              <w:autoSpaceDN/>
              <w:spacing w:line="360" w:lineRule="auto"/>
              <w:jc w:val="both"/>
              <w:rPr>
                <w:rFonts w:ascii="Times New Roman" w:eastAsia="Calibri" w:hAnsi="Times New Roman" w:cs="Times New Roman"/>
              </w:rPr>
            </w:pPr>
            <w:r w:rsidRPr="006010D4">
              <w:rPr>
                <w:rFonts w:ascii="Times New Roman" w:eastAsia="Calibri" w:hAnsi="Times New Roman" w:cs="Times New Roman"/>
              </w:rPr>
              <w:t>Taşınırların yangına, ıslanmaya, bozulmaya, çalınmaya ve benzeri tehlikelere karşı korunması için gerekli tedbirlerin alınmasını sağlamak.</w:t>
            </w:r>
          </w:p>
          <w:p w14:paraId="71804ED8" w14:textId="77777777" w:rsidR="00A86E7D" w:rsidRPr="006010D4" w:rsidRDefault="00A86E7D" w:rsidP="00A86E7D">
            <w:pPr>
              <w:pStyle w:val="ListeParagraf"/>
              <w:widowControl/>
              <w:numPr>
                <w:ilvl w:val="0"/>
                <w:numId w:val="3"/>
              </w:numPr>
              <w:autoSpaceDE/>
              <w:autoSpaceDN/>
              <w:spacing w:line="360" w:lineRule="auto"/>
              <w:jc w:val="both"/>
              <w:rPr>
                <w:rFonts w:ascii="Times New Roman" w:eastAsia="Calibri" w:hAnsi="Times New Roman" w:cs="Times New Roman"/>
              </w:rPr>
            </w:pPr>
            <w:r w:rsidRPr="006010D4">
              <w:rPr>
                <w:rFonts w:ascii="Times New Roman" w:eastAsia="Calibri" w:hAnsi="Times New Roman" w:cs="Times New Roman"/>
              </w:rPr>
              <w:t>Ambarda çalınma veya olağanüstü nedenlerden dolayı meydana gelen azalmaları harcama yetkilisine bildirmek.</w:t>
            </w:r>
          </w:p>
          <w:p w14:paraId="625DADED" w14:textId="77777777" w:rsidR="00A86E7D" w:rsidRPr="006010D4" w:rsidRDefault="00A86E7D" w:rsidP="00A86E7D">
            <w:pPr>
              <w:pStyle w:val="ListeParagraf"/>
              <w:widowControl/>
              <w:numPr>
                <w:ilvl w:val="0"/>
                <w:numId w:val="3"/>
              </w:numPr>
              <w:autoSpaceDE/>
              <w:autoSpaceDN/>
              <w:spacing w:line="360" w:lineRule="auto"/>
              <w:jc w:val="both"/>
              <w:rPr>
                <w:rFonts w:ascii="Times New Roman" w:eastAsia="Calibri" w:hAnsi="Times New Roman" w:cs="Times New Roman"/>
              </w:rPr>
            </w:pPr>
            <w:r w:rsidRPr="006010D4">
              <w:rPr>
                <w:rFonts w:ascii="Times New Roman" w:eastAsia="Calibri" w:hAnsi="Times New Roman" w:cs="Times New Roman"/>
              </w:rPr>
              <w:t>Harcama biriminin malzeme ihtiyaç planlamasının yapılmasına yardımcı olmak.</w:t>
            </w:r>
          </w:p>
          <w:p w14:paraId="3EE65369" w14:textId="77777777" w:rsidR="00A86E7D" w:rsidRPr="006010D4" w:rsidRDefault="00A86E7D" w:rsidP="00A86E7D">
            <w:pPr>
              <w:pStyle w:val="ListeParagraf"/>
              <w:widowControl/>
              <w:numPr>
                <w:ilvl w:val="0"/>
                <w:numId w:val="3"/>
              </w:numPr>
              <w:autoSpaceDE/>
              <w:autoSpaceDN/>
              <w:spacing w:line="360" w:lineRule="auto"/>
              <w:jc w:val="both"/>
              <w:rPr>
                <w:rFonts w:ascii="Times New Roman" w:eastAsia="Calibri" w:hAnsi="Times New Roman" w:cs="Times New Roman"/>
              </w:rPr>
            </w:pPr>
            <w:r w:rsidRPr="006010D4">
              <w:rPr>
                <w:rFonts w:ascii="Times New Roman" w:eastAsia="Calibri" w:hAnsi="Times New Roman" w:cs="Times New Roman"/>
              </w:rPr>
              <w:t>Hurda vasfına haiz malzemelerin hurda komisyonu kararından sonra hurda işlemlerini yaptırmak ve hurda alanına gönderilmesini sağlamak.</w:t>
            </w:r>
          </w:p>
          <w:p w14:paraId="062DE983" w14:textId="77777777" w:rsidR="00266196" w:rsidRPr="00A86E7D" w:rsidRDefault="00266196" w:rsidP="00A86E7D">
            <w:pPr>
              <w:rPr>
                <w:rFonts w:ascii="Times New Roman" w:hAnsi="Times New Roman"/>
                <w:sz w:val="28"/>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335DEA77" w14:textId="77777777" w:rsidR="00A86E7D" w:rsidRPr="00A1706F" w:rsidRDefault="00A86E7D" w:rsidP="00A86E7D">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657 sayılı Devlet Memurları Kanunu’nda belirtilen şartları taşımak</w:t>
            </w:r>
          </w:p>
          <w:p w14:paraId="34F8A874" w14:textId="77777777" w:rsidR="00A86E7D" w:rsidRPr="00A1706F" w:rsidRDefault="00A86E7D" w:rsidP="00A86E7D">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Üniversitemiz Personel işlemleri ile ilgili diğer mevzuatları bilmek.</w:t>
            </w:r>
          </w:p>
          <w:p w14:paraId="42634015" w14:textId="77777777" w:rsidR="00A86E7D" w:rsidRPr="00A1706F" w:rsidRDefault="00A86E7D" w:rsidP="00A86E7D">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Görevini gereği gibi yerine getirebilmek için gerekli iş deneyimine sahip olmak.</w:t>
            </w:r>
          </w:p>
          <w:p w14:paraId="749E4C94" w14:textId="77777777" w:rsidR="00A86E7D" w:rsidRPr="00A1706F" w:rsidRDefault="00A86E7D" w:rsidP="00A86E7D">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Yukarıda belirtilen görev ve sorumlulukları gerçekleştirme yetkisine sahip olmak.</w:t>
            </w:r>
          </w:p>
          <w:p w14:paraId="77ECB9A1" w14:textId="77777777" w:rsidR="00A86E7D" w:rsidRPr="006010D4" w:rsidRDefault="00A86E7D" w:rsidP="00A86E7D">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Faaliyetlerinin gerektirdiği her türlü araç, gereç ve malzemeyi kullanabilme</w:t>
            </w:r>
            <w:r>
              <w:rPr>
                <w:rFonts w:ascii="Times New Roman" w:eastAsia="Calibri" w:hAnsi="Times New Roman" w:cs="Times New Roman"/>
              </w:rPr>
              <w:t>k</w:t>
            </w:r>
          </w:p>
          <w:p w14:paraId="4F9A5D08" w14:textId="77777777" w:rsidR="00A86E7D" w:rsidRPr="00A1706F" w:rsidRDefault="00A86E7D" w:rsidP="00A86E7D">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EBSY, MYS ve KBS uygulamalarını kullanmak</w:t>
            </w:r>
          </w:p>
          <w:p w14:paraId="6FEFEC5F" w14:textId="77777777" w:rsidR="00A86E7D" w:rsidRPr="00A1706F" w:rsidRDefault="00A86E7D" w:rsidP="00A86E7D">
            <w:pPr>
              <w:widowControl/>
              <w:numPr>
                <w:ilvl w:val="0"/>
                <w:numId w:val="4"/>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Personel Bilgi Sistemini (PBS) kullanmak</w:t>
            </w:r>
          </w:p>
          <w:p w14:paraId="0ACD6590" w14:textId="59E233F7" w:rsidR="00266196" w:rsidRDefault="00266196" w:rsidP="00266196">
            <w:pPr>
              <w:rPr>
                <w:rFonts w:ascii="Times New Roman" w:hAnsi="Times New Roman" w:cs="Times New Roman"/>
                <w:b/>
              </w:rPr>
            </w:pPr>
          </w:p>
          <w:p w14:paraId="55F064F1" w14:textId="025D6612" w:rsidR="00A86E7D" w:rsidRDefault="00A86E7D" w:rsidP="00266196">
            <w:pPr>
              <w:rPr>
                <w:rFonts w:ascii="Times New Roman" w:hAnsi="Times New Roman" w:cs="Times New Roman"/>
                <w:b/>
              </w:rPr>
            </w:pPr>
          </w:p>
          <w:p w14:paraId="54215EF6" w14:textId="1F44D378" w:rsidR="00A86E7D" w:rsidRDefault="00A86E7D" w:rsidP="00266196">
            <w:pPr>
              <w:rPr>
                <w:rFonts w:ascii="Times New Roman" w:hAnsi="Times New Roman" w:cs="Times New Roman"/>
                <w:b/>
              </w:rPr>
            </w:pPr>
          </w:p>
          <w:p w14:paraId="2E7173BE" w14:textId="77777777" w:rsidR="00A86E7D" w:rsidRDefault="00A86E7D"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1FB637B6" w14:textId="77777777" w:rsidR="00A86E7D" w:rsidRPr="00A1706F" w:rsidRDefault="00A86E7D" w:rsidP="00A86E7D">
            <w:pPr>
              <w:widowControl/>
              <w:numPr>
                <w:ilvl w:val="0"/>
                <w:numId w:val="5"/>
              </w:numPr>
              <w:autoSpaceDE/>
              <w:autoSpaceDN/>
              <w:spacing w:line="360" w:lineRule="auto"/>
              <w:contextualSpacing/>
              <w:jc w:val="both"/>
              <w:rPr>
                <w:rFonts w:ascii="Times New Roman" w:eastAsia="Calibri" w:hAnsi="Times New Roman" w:cs="Times New Roman"/>
              </w:rPr>
            </w:pPr>
            <w:r w:rsidRPr="00A1706F">
              <w:rPr>
                <w:rFonts w:ascii="Times New Roman" w:eastAsia="Calibri" w:hAnsi="Times New Roman" w:cs="Times New Roman"/>
              </w:rPr>
              <w:t>657 sayılı Devlet Memurları Kanunu</w:t>
            </w: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w:t>
            </w:r>
            <w:proofErr w:type="gramStart"/>
            <w:r w:rsidRPr="00266196">
              <w:rPr>
                <w:rFonts w:ascii="Times New Roman" w:hAnsi="Times New Roman" w:cs="Times New Roman"/>
              </w:rPr>
              <w:t>Tarih :</w:t>
            </w:r>
            <w:proofErr w:type="gramEnd"/>
            <w:r w:rsidRPr="00266196">
              <w:rPr>
                <w:rFonts w:ascii="Times New Roman" w:hAnsi="Times New Roman" w:cs="Times New Roman"/>
              </w:rPr>
              <w:t xml:space="preserve">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8F05" w14:textId="77777777" w:rsidR="00A96646" w:rsidRDefault="00A96646" w:rsidP="002B2BC7">
      <w:r>
        <w:separator/>
      </w:r>
    </w:p>
  </w:endnote>
  <w:endnote w:type="continuationSeparator" w:id="0">
    <w:p w14:paraId="44F2F58C" w14:textId="77777777" w:rsidR="00A96646" w:rsidRDefault="00A9664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81E0" w14:textId="77777777" w:rsidR="00A96646" w:rsidRDefault="00A96646" w:rsidP="002B2BC7">
      <w:r>
        <w:separator/>
      </w:r>
    </w:p>
  </w:footnote>
  <w:footnote w:type="continuationSeparator" w:id="0">
    <w:p w14:paraId="2CEE58EE" w14:textId="77777777" w:rsidR="00A96646" w:rsidRDefault="00A96646"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6281D84" w14:textId="77777777" w:rsidR="00A86E7D" w:rsidRDefault="00A86E7D" w:rsidP="00A86E7D">
          <w:pPr>
            <w:tabs>
              <w:tab w:val="left" w:pos="4809"/>
            </w:tabs>
            <w:jc w:val="center"/>
            <w:rPr>
              <w:rFonts w:ascii="Times New Roman" w:hAnsi="Times New Roman" w:cs="Times New Roman"/>
              <w:sz w:val="28"/>
            </w:rPr>
          </w:pPr>
          <w:r w:rsidRPr="00273199">
            <w:rPr>
              <w:rFonts w:ascii="Times New Roman" w:hAnsi="Times New Roman" w:cs="Times New Roman"/>
              <w:sz w:val="28"/>
            </w:rPr>
            <w:t xml:space="preserve">TAŞINIR KAYIT </w:t>
          </w:r>
          <w:r>
            <w:rPr>
              <w:rFonts w:ascii="Times New Roman" w:hAnsi="Times New Roman" w:cs="Times New Roman"/>
              <w:sz w:val="28"/>
            </w:rPr>
            <w:t>KONTOL YETKİLİSİ</w:t>
          </w:r>
        </w:p>
        <w:p w14:paraId="056F9D78" w14:textId="4C01076D" w:rsidR="000C38DC" w:rsidRDefault="00A86E7D" w:rsidP="00A86E7D">
          <w:pPr>
            <w:tabs>
              <w:tab w:val="left" w:pos="4809"/>
            </w:tabs>
            <w:jc w:val="center"/>
          </w:pPr>
          <w:r>
            <w:rPr>
              <w:rFonts w:ascii="Times New Roman" w:hAnsi="Times New Roman" w:cs="Times New Roman"/>
              <w:sz w:val="28"/>
            </w:rPr>
            <w:t>GÖREV</w:t>
          </w:r>
          <w:r w:rsidRPr="00273199">
            <w:rPr>
              <w:rFonts w:ascii="Times New Roman" w:hAnsi="Times New Roman" w:cs="Times New Roman"/>
              <w:sz w:val="28"/>
            </w:rPr>
            <w:t xml:space="preserve">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6707094D"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A86E7D">
            <w:rPr>
              <w:rFonts w:ascii="Times New Roman" w:hAnsi="Times New Roman" w:cs="Times New Roman"/>
              <w:b/>
              <w:sz w:val="18"/>
              <w:szCs w:val="18"/>
            </w:rPr>
            <w:t>19</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71FEE294"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4062A">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801F63"/>
    <w:multiLevelType w:val="hybridMultilevel"/>
    <w:tmpl w:val="AE2C4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583FA6"/>
    <w:multiLevelType w:val="hybridMultilevel"/>
    <w:tmpl w:val="7736C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517FAC"/>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32E8A"/>
    <w:rsid w:val="00873AE1"/>
    <w:rsid w:val="008C0738"/>
    <w:rsid w:val="0092731F"/>
    <w:rsid w:val="0093355E"/>
    <w:rsid w:val="00967B24"/>
    <w:rsid w:val="00983812"/>
    <w:rsid w:val="009D0ACB"/>
    <w:rsid w:val="009E0FD7"/>
    <w:rsid w:val="009F3E9D"/>
    <w:rsid w:val="00A36B58"/>
    <w:rsid w:val="00A506A9"/>
    <w:rsid w:val="00A831A8"/>
    <w:rsid w:val="00A866F1"/>
    <w:rsid w:val="00A86E7D"/>
    <w:rsid w:val="00A96646"/>
    <w:rsid w:val="00AC3375"/>
    <w:rsid w:val="00B02952"/>
    <w:rsid w:val="00B31A6E"/>
    <w:rsid w:val="00B45D14"/>
    <w:rsid w:val="00BA66CA"/>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A86E7D"/>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p:lastModifiedBy>
  <cp:revision>3</cp:revision>
  <cp:lastPrinted>2021-04-08T05:58:00Z</cp:lastPrinted>
  <dcterms:created xsi:type="dcterms:W3CDTF">2021-09-21T08:15:00Z</dcterms:created>
  <dcterms:modified xsi:type="dcterms:W3CDTF">2021-09-21T12:47:00Z</dcterms:modified>
</cp:coreProperties>
</file>