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64D2F" w14:textId="77777777" w:rsidR="009F6560" w:rsidRDefault="009F6560"/>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35CF9DB3" w:rsidR="00344B36" w:rsidRDefault="00344B36" w:rsidP="00344B36">
            <w:pPr>
              <w:pStyle w:val="ListeParagraf"/>
              <w:ind w:left="0"/>
              <w:jc w:val="both"/>
              <w:rPr>
                <w:sz w:val="22"/>
                <w:szCs w:val="22"/>
              </w:rPr>
            </w:pPr>
          </w:p>
          <w:tbl>
            <w:tblPr>
              <w:tblStyle w:val="TabloKlavuzu"/>
              <w:tblW w:w="9942" w:type="dxa"/>
              <w:tblLayout w:type="fixed"/>
              <w:tblLook w:val="04A0" w:firstRow="1" w:lastRow="0" w:firstColumn="1" w:lastColumn="0" w:noHBand="0" w:noVBand="1"/>
            </w:tblPr>
            <w:tblGrid>
              <w:gridCol w:w="2842"/>
              <w:gridCol w:w="7100"/>
            </w:tblGrid>
            <w:tr w:rsidR="009F6560" w:rsidRPr="00633453" w14:paraId="0F81FCF5" w14:textId="77777777" w:rsidTr="006E38AA">
              <w:trPr>
                <w:trHeight w:val="173"/>
              </w:trPr>
              <w:tc>
                <w:tcPr>
                  <w:tcW w:w="2842" w:type="dxa"/>
                  <w:tcBorders>
                    <w:left w:val="single" w:sz="18" w:space="0" w:color="auto"/>
                  </w:tcBorders>
                </w:tcPr>
                <w:p w14:paraId="047E292C" w14:textId="77777777" w:rsidR="009F6560" w:rsidRPr="00F273F7" w:rsidRDefault="009F6560" w:rsidP="009F6560">
                  <w:pPr>
                    <w:rPr>
                      <w:b/>
                      <w:sz w:val="18"/>
                      <w:szCs w:val="18"/>
                    </w:rPr>
                  </w:pPr>
                  <w:r w:rsidRPr="009F6560">
                    <w:rPr>
                      <w:b/>
                    </w:rPr>
                    <w:t>Alt Birim Adı</w:t>
                  </w:r>
                </w:p>
              </w:tc>
              <w:tc>
                <w:tcPr>
                  <w:tcW w:w="7100" w:type="dxa"/>
                  <w:tcBorders>
                    <w:right w:val="single" w:sz="18" w:space="0" w:color="auto"/>
                  </w:tcBorders>
                </w:tcPr>
                <w:p w14:paraId="76FE2944" w14:textId="73799E3A" w:rsidR="009F6560" w:rsidRPr="009F6560" w:rsidRDefault="009F6560" w:rsidP="009F6560">
                  <w:pPr>
                    <w:rPr>
                      <w:sz w:val="22"/>
                      <w:szCs w:val="22"/>
                    </w:rPr>
                  </w:pPr>
                  <w:r w:rsidRPr="009F6560">
                    <w:rPr>
                      <w:sz w:val="22"/>
                      <w:szCs w:val="22"/>
                    </w:rPr>
                    <w:t>OTOMASYON ŞUBE MÜDÜRLÜĞÜ</w:t>
                  </w:r>
                </w:p>
              </w:tc>
            </w:tr>
            <w:tr w:rsidR="009F6560" w:rsidRPr="00344B36" w14:paraId="0CD7788B" w14:textId="77777777" w:rsidTr="009F6560">
              <w:trPr>
                <w:trHeight w:val="193"/>
              </w:trPr>
              <w:tc>
                <w:tcPr>
                  <w:tcW w:w="2842" w:type="dxa"/>
                  <w:tcBorders>
                    <w:left w:val="single" w:sz="18" w:space="0" w:color="auto"/>
                  </w:tcBorders>
                </w:tcPr>
                <w:p w14:paraId="0B575CA4" w14:textId="77777777" w:rsidR="009F6560" w:rsidRPr="00344B36" w:rsidRDefault="009F6560" w:rsidP="009F6560">
                  <w:pPr>
                    <w:ind w:right="-312"/>
                    <w:rPr>
                      <w:b/>
                      <w:sz w:val="22"/>
                      <w:szCs w:val="22"/>
                    </w:rPr>
                  </w:pPr>
                  <w:r w:rsidRPr="00344B36">
                    <w:rPr>
                      <w:b/>
                      <w:sz w:val="22"/>
                      <w:szCs w:val="22"/>
                    </w:rPr>
                    <w:t>Adı ve Soyadı</w:t>
                  </w:r>
                </w:p>
              </w:tc>
              <w:tc>
                <w:tcPr>
                  <w:tcW w:w="7100" w:type="dxa"/>
                  <w:tcBorders>
                    <w:right w:val="single" w:sz="18" w:space="0" w:color="auto"/>
                  </w:tcBorders>
                </w:tcPr>
                <w:p w14:paraId="3189C1AB" w14:textId="77777777" w:rsidR="009F6560" w:rsidRPr="009F6560" w:rsidRDefault="009F6560" w:rsidP="009F6560">
                  <w:pPr>
                    <w:rPr>
                      <w:sz w:val="22"/>
                      <w:szCs w:val="22"/>
                    </w:rPr>
                  </w:pPr>
                </w:p>
              </w:tc>
            </w:tr>
            <w:tr w:rsidR="009F6560" w:rsidRPr="00344B36" w14:paraId="3E0E2C15" w14:textId="77777777" w:rsidTr="009F6560">
              <w:trPr>
                <w:trHeight w:val="193"/>
              </w:trPr>
              <w:tc>
                <w:tcPr>
                  <w:tcW w:w="2842" w:type="dxa"/>
                  <w:tcBorders>
                    <w:left w:val="single" w:sz="18" w:space="0" w:color="auto"/>
                  </w:tcBorders>
                </w:tcPr>
                <w:p w14:paraId="4138218C" w14:textId="77777777" w:rsidR="009F6560" w:rsidRPr="00344B36" w:rsidRDefault="009F6560" w:rsidP="009F6560">
                  <w:pPr>
                    <w:ind w:right="-312"/>
                    <w:rPr>
                      <w:b/>
                      <w:sz w:val="22"/>
                      <w:szCs w:val="22"/>
                    </w:rPr>
                  </w:pPr>
                  <w:r w:rsidRPr="00344B36">
                    <w:rPr>
                      <w:b/>
                      <w:sz w:val="22"/>
                      <w:szCs w:val="22"/>
                    </w:rPr>
                    <w:t>Kadro Unvanı</w:t>
                  </w:r>
                </w:p>
              </w:tc>
              <w:tc>
                <w:tcPr>
                  <w:tcW w:w="7100" w:type="dxa"/>
                  <w:tcBorders>
                    <w:right w:val="single" w:sz="18" w:space="0" w:color="auto"/>
                  </w:tcBorders>
                </w:tcPr>
                <w:p w14:paraId="216BC26A" w14:textId="3921A1BA" w:rsidR="009F6560" w:rsidRPr="009F6560" w:rsidRDefault="009F6560" w:rsidP="009F6560">
                  <w:pPr>
                    <w:rPr>
                      <w:sz w:val="22"/>
                      <w:szCs w:val="22"/>
                    </w:rPr>
                  </w:pPr>
                </w:p>
              </w:tc>
            </w:tr>
            <w:tr w:rsidR="009F6560" w:rsidRPr="00344B36" w14:paraId="5A6DE78F" w14:textId="77777777" w:rsidTr="009F6560">
              <w:trPr>
                <w:trHeight w:val="193"/>
              </w:trPr>
              <w:tc>
                <w:tcPr>
                  <w:tcW w:w="2842" w:type="dxa"/>
                  <w:tcBorders>
                    <w:left w:val="single" w:sz="18" w:space="0" w:color="auto"/>
                  </w:tcBorders>
                </w:tcPr>
                <w:p w14:paraId="40BDF7B9" w14:textId="77777777" w:rsidR="009F6560" w:rsidRPr="00344B36" w:rsidRDefault="009F6560" w:rsidP="009F6560">
                  <w:pPr>
                    <w:ind w:right="-312"/>
                    <w:rPr>
                      <w:b/>
                      <w:sz w:val="22"/>
                      <w:szCs w:val="22"/>
                    </w:rPr>
                  </w:pPr>
                  <w:r w:rsidRPr="00344B36">
                    <w:rPr>
                      <w:b/>
                      <w:sz w:val="22"/>
                      <w:szCs w:val="22"/>
                    </w:rPr>
                    <w:t>Görev Unvanı</w:t>
                  </w:r>
                </w:p>
              </w:tc>
              <w:tc>
                <w:tcPr>
                  <w:tcW w:w="7100" w:type="dxa"/>
                  <w:tcBorders>
                    <w:right w:val="single" w:sz="18" w:space="0" w:color="auto"/>
                  </w:tcBorders>
                </w:tcPr>
                <w:p w14:paraId="52D542BB" w14:textId="7D3FAE2E" w:rsidR="009F6560" w:rsidRPr="009F6560" w:rsidRDefault="009F6560" w:rsidP="009F6560">
                  <w:pPr>
                    <w:rPr>
                      <w:sz w:val="22"/>
                      <w:szCs w:val="22"/>
                    </w:rPr>
                  </w:pPr>
                  <w:r w:rsidRPr="009F6560">
                    <w:rPr>
                      <w:sz w:val="22"/>
                      <w:szCs w:val="22"/>
                    </w:rPr>
                    <w:t>SİSTEM YÖNETİCİSİ</w:t>
                  </w:r>
                </w:p>
              </w:tc>
            </w:tr>
            <w:tr w:rsidR="009F6560" w:rsidRPr="00344B36" w14:paraId="1180D1C8" w14:textId="77777777" w:rsidTr="009F6560">
              <w:trPr>
                <w:trHeight w:val="193"/>
              </w:trPr>
              <w:tc>
                <w:tcPr>
                  <w:tcW w:w="2842" w:type="dxa"/>
                  <w:tcBorders>
                    <w:left w:val="single" w:sz="18" w:space="0" w:color="auto"/>
                  </w:tcBorders>
                </w:tcPr>
                <w:p w14:paraId="45593ACE" w14:textId="77777777" w:rsidR="009F6560" w:rsidRPr="00344B36" w:rsidRDefault="009F6560" w:rsidP="009F6560">
                  <w:pPr>
                    <w:ind w:right="-312"/>
                    <w:rPr>
                      <w:b/>
                      <w:sz w:val="22"/>
                      <w:szCs w:val="22"/>
                    </w:rPr>
                  </w:pPr>
                  <w:r w:rsidRPr="00344B36">
                    <w:rPr>
                      <w:b/>
                      <w:sz w:val="22"/>
                      <w:szCs w:val="22"/>
                    </w:rPr>
                    <w:t>İletişim / E-mail</w:t>
                  </w:r>
                </w:p>
              </w:tc>
              <w:tc>
                <w:tcPr>
                  <w:tcW w:w="7100" w:type="dxa"/>
                  <w:tcBorders>
                    <w:right w:val="single" w:sz="18" w:space="0" w:color="auto"/>
                  </w:tcBorders>
                </w:tcPr>
                <w:p w14:paraId="0B31D338" w14:textId="77777777" w:rsidR="009F6560" w:rsidRPr="009F6560" w:rsidRDefault="009F6560" w:rsidP="009F6560">
                  <w:pPr>
                    <w:rPr>
                      <w:sz w:val="22"/>
                      <w:szCs w:val="22"/>
                    </w:rPr>
                  </w:pPr>
                </w:p>
              </w:tc>
            </w:tr>
            <w:tr w:rsidR="009F6560" w:rsidRPr="00344B36" w14:paraId="24464901" w14:textId="77777777" w:rsidTr="009F6560">
              <w:trPr>
                <w:trHeight w:val="193"/>
              </w:trPr>
              <w:tc>
                <w:tcPr>
                  <w:tcW w:w="2842" w:type="dxa"/>
                  <w:tcBorders>
                    <w:left w:val="single" w:sz="18" w:space="0" w:color="auto"/>
                  </w:tcBorders>
                </w:tcPr>
                <w:p w14:paraId="15FC8F3F" w14:textId="77777777" w:rsidR="009F6560" w:rsidRPr="00344B36" w:rsidRDefault="009F6560" w:rsidP="009F6560">
                  <w:pPr>
                    <w:ind w:right="-312"/>
                    <w:rPr>
                      <w:b/>
                      <w:sz w:val="22"/>
                      <w:szCs w:val="22"/>
                    </w:rPr>
                  </w:pPr>
                  <w:r w:rsidRPr="00344B36">
                    <w:rPr>
                      <w:b/>
                      <w:sz w:val="22"/>
                      <w:szCs w:val="22"/>
                    </w:rPr>
                    <w:t>Üst Yönetici/Yöneticileri</w:t>
                  </w:r>
                </w:p>
              </w:tc>
              <w:tc>
                <w:tcPr>
                  <w:tcW w:w="7100" w:type="dxa"/>
                  <w:tcBorders>
                    <w:right w:val="single" w:sz="18" w:space="0" w:color="auto"/>
                  </w:tcBorders>
                </w:tcPr>
                <w:p w14:paraId="15101019" w14:textId="0764E958" w:rsidR="009F6560" w:rsidRPr="009F6560" w:rsidRDefault="009F6560" w:rsidP="009F6560">
                  <w:pPr>
                    <w:rPr>
                      <w:sz w:val="22"/>
                      <w:szCs w:val="22"/>
                    </w:rPr>
                  </w:pPr>
                  <w:r w:rsidRPr="009F6560">
                    <w:rPr>
                      <w:sz w:val="22"/>
                      <w:szCs w:val="22"/>
                    </w:rPr>
                    <w:t>ŞEF- ŞUBE MÜDÜRÜ- DAİRE BAŞKANI</w:t>
                  </w:r>
                </w:p>
              </w:tc>
            </w:tr>
            <w:tr w:rsidR="009F6560" w:rsidRPr="00344B36" w14:paraId="1B0C31D5" w14:textId="77777777" w:rsidTr="009F6560">
              <w:trPr>
                <w:trHeight w:val="389"/>
              </w:trPr>
              <w:tc>
                <w:tcPr>
                  <w:tcW w:w="2842" w:type="dxa"/>
                  <w:tcBorders>
                    <w:left w:val="single" w:sz="18" w:space="0" w:color="auto"/>
                  </w:tcBorders>
                </w:tcPr>
                <w:p w14:paraId="376B6E80" w14:textId="654FFFC0" w:rsidR="009F6560" w:rsidRPr="00344B36" w:rsidRDefault="009F6560" w:rsidP="009F6560">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100" w:type="dxa"/>
                  <w:tcBorders>
                    <w:right w:val="single" w:sz="18" w:space="0" w:color="auto"/>
                  </w:tcBorders>
                </w:tcPr>
                <w:p w14:paraId="2F7AF4C0" w14:textId="5F0A92BD" w:rsidR="009F6560" w:rsidRPr="00344B36" w:rsidRDefault="009F6560" w:rsidP="009F6560">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70AD3F8A" w14:textId="77777777" w:rsidR="009F6560" w:rsidRPr="009F6560" w:rsidRDefault="009F6560" w:rsidP="009F6560">
            <w:pPr>
              <w:spacing w:line="360" w:lineRule="auto"/>
              <w:rPr>
                <w:sz w:val="22"/>
                <w:szCs w:val="22"/>
              </w:rPr>
            </w:pPr>
            <w:r w:rsidRPr="009F6560">
              <w:rPr>
                <w:sz w:val="22"/>
                <w:szCs w:val="22"/>
              </w:rPr>
              <w:t>Öğrenci Bilgi Sistemi ile ilgili tüm işlemleri yürütmek</w:t>
            </w:r>
          </w:p>
          <w:p w14:paraId="416B7743" w14:textId="77777777" w:rsidR="009F6560" w:rsidRPr="00CF3248" w:rsidRDefault="009F6560" w:rsidP="009F6560">
            <w:pPr>
              <w:rPr>
                <w:sz w:val="26"/>
              </w:rPr>
            </w:pPr>
          </w:p>
          <w:p w14:paraId="4C87EA46" w14:textId="77777777" w:rsidR="009F6560" w:rsidRPr="009315F9" w:rsidRDefault="009F6560" w:rsidP="009F6560">
            <w:pPr>
              <w:spacing w:line="360" w:lineRule="auto"/>
              <w:rPr>
                <w:b/>
                <w:sz w:val="22"/>
                <w:szCs w:val="22"/>
              </w:rPr>
            </w:pPr>
            <w:r w:rsidRPr="009315F9">
              <w:rPr>
                <w:b/>
                <w:sz w:val="22"/>
                <w:szCs w:val="22"/>
              </w:rPr>
              <w:t>GÖREV, YETKİ VE SORUMLULUKLAR</w:t>
            </w:r>
          </w:p>
          <w:p w14:paraId="530B1551"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Yazışmaları “Resmi Yazışmalarda Uygulanacak Esas ve Usuller Hakkındaki Yönetmelik Kurallarına uygun olarak düzenlemek, ilgili yerlere ulaşmasını sağlamak</w:t>
            </w:r>
          </w:p>
          <w:p w14:paraId="6B3DA59B"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Kendisine havale edilen iş ve evrakların, cevap yazılarının hazırlanmasını, günlük işlerin imza takibinin yapılmasını ve sonuçlandırılmasını sağlamak</w:t>
            </w:r>
          </w:p>
          <w:p w14:paraId="37071BB4"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Enstitü/Fakülte/Yüksekokul/Meslek Yüksekokullar ile Rektörlük ve ilgili kurumlar arasındaki işlemleri yürütmek ve genel yazışmalarının sağlıklı yürümesini sağlamak.</w:t>
            </w:r>
          </w:p>
          <w:p w14:paraId="26BE8D8D"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Yıl içinde sisteme girilmesi gereken bilgileri, ders ekleme, çıkarma - kayıt dondurma, kayıt açma, yönetim kurulu kararları ile belirlenen diğer iş ve işlemleri sisteme işleme (not düzeltmeleri, muafiyet işlemleri, intibak işlemleri, yatay ve dikey geçiş işlemleri vb.) ve dosyalanması, harç dekontlarının sisteme işlenmesi, Enstitü / Fakülte / Konservatuvar / Yüksekokul /Meslek Yüksekokulu Birim öğrenci servislerine, öğrenci, danışman ve öğretim üyelerine öğrenci otomasyonu ile ilgili danışmanlık yapmak.</w:t>
            </w:r>
          </w:p>
          <w:p w14:paraId="774926CC"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Görev alanı ile ilgili raporları hazırlamak, bunlar için temel teşkil eden istatistikî bilgileri tutmak</w:t>
            </w:r>
          </w:p>
          <w:p w14:paraId="4C625260" w14:textId="44482F0A"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Yapılan iş ve işlemlerde üst yöneticileri bilgilendirmek, yapılamayan işleri gerekçeleri ile açıklamak.</w:t>
            </w:r>
          </w:p>
          <w:p w14:paraId="72FF06DC"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İş verimliliği ve barışı açısından diğer birimlerle uyum içerisinde çalışmaya gayret etmek.</w:t>
            </w:r>
          </w:p>
          <w:p w14:paraId="3CB72BE5"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Çalışma sırasında çabukluk, gizlilik ve doğruluk ilkelerinden ayrılmamak.</w:t>
            </w:r>
          </w:p>
          <w:p w14:paraId="5A1BC156"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Bağlı olduğu süreç ile üst yöneticileri tarafından verilen diğer iş ve işlemleri yapmak.</w:t>
            </w:r>
          </w:p>
          <w:p w14:paraId="75D4F594"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Kalite Yönetim çalışmalarında görev almak.</w:t>
            </w:r>
          </w:p>
          <w:p w14:paraId="05DE19D8" w14:textId="77777777" w:rsidR="009F6560" w:rsidRPr="00FF0E19" w:rsidRDefault="009F6560" w:rsidP="009F6560">
            <w:pPr>
              <w:rPr>
                <w:sz w:val="26"/>
              </w:rPr>
            </w:pPr>
          </w:p>
          <w:p w14:paraId="6C455122" w14:textId="77777777" w:rsidR="009F6560" w:rsidRPr="009315F9" w:rsidRDefault="009F6560" w:rsidP="009F6560">
            <w:pPr>
              <w:pStyle w:val="ListeParagraf"/>
              <w:spacing w:line="360" w:lineRule="auto"/>
              <w:ind w:left="0"/>
              <w:jc w:val="both"/>
              <w:rPr>
                <w:b/>
                <w:sz w:val="22"/>
                <w:szCs w:val="22"/>
              </w:rPr>
            </w:pPr>
            <w:r w:rsidRPr="009315F9">
              <w:rPr>
                <w:b/>
                <w:sz w:val="22"/>
                <w:szCs w:val="22"/>
              </w:rPr>
              <w:t>GÖREVİN GEREKTİRDİĞİ NİTELİKLER</w:t>
            </w:r>
          </w:p>
          <w:p w14:paraId="636EC04B"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 xml:space="preserve">657 Sayılı Devlet Memurları Kanun’unda belirtilen genel niteliklere sahip olmak. </w:t>
            </w:r>
          </w:p>
          <w:p w14:paraId="2AD3F728"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 xml:space="preserve">Üniversitemiz Personel işlemleri ile ilgili diğer mevzuatları bilmek. </w:t>
            </w:r>
          </w:p>
          <w:p w14:paraId="20BD8151"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lastRenderedPageBreak/>
              <w:t xml:space="preserve">Görevini gereği gibi yerine getirebilmek için gerekli iş deneyimine sahip olmak. </w:t>
            </w:r>
          </w:p>
          <w:p w14:paraId="2116B45A"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 xml:space="preserve">Yukarıda belirtilen görev ve sorumlulukları gerçekleştirme yetkisine sahip olmak. </w:t>
            </w:r>
          </w:p>
          <w:p w14:paraId="7F11B5CF"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Faaliyetlerinin gerektirdiği her türlü araç, gereç ve malzemeyi kullanabilme</w:t>
            </w:r>
          </w:p>
          <w:p w14:paraId="6578D396"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Sorumlu olduğu birime gelen evrakları çalışan personele görevlendirme esaslarına göre havale etmek,</w:t>
            </w:r>
          </w:p>
          <w:p w14:paraId="675A1867" w14:textId="790FA18C"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Hazırlanan yazıları imzaya sunmak.</w:t>
            </w:r>
          </w:p>
          <w:p w14:paraId="67B57BCE" w14:textId="77777777" w:rsidR="009F6560" w:rsidRPr="00FF0E19" w:rsidRDefault="009F6560" w:rsidP="009F6560">
            <w:pPr>
              <w:ind w:left="714"/>
              <w:contextualSpacing/>
              <w:rPr>
                <w:rFonts w:eastAsiaTheme="minorHAnsi"/>
                <w:b/>
                <w:szCs w:val="18"/>
                <w:lang w:eastAsia="tr-TR"/>
              </w:rPr>
            </w:pPr>
          </w:p>
          <w:p w14:paraId="3F13E39C" w14:textId="77777777" w:rsidR="009F6560" w:rsidRPr="009315F9" w:rsidRDefault="009F6560" w:rsidP="009F6560">
            <w:pPr>
              <w:pStyle w:val="ListeParagraf"/>
              <w:spacing w:line="360" w:lineRule="auto"/>
              <w:ind w:left="0"/>
              <w:jc w:val="both"/>
              <w:rPr>
                <w:b/>
                <w:sz w:val="22"/>
                <w:szCs w:val="22"/>
              </w:rPr>
            </w:pPr>
            <w:r w:rsidRPr="009315F9">
              <w:rPr>
                <w:b/>
                <w:sz w:val="22"/>
                <w:szCs w:val="22"/>
              </w:rPr>
              <w:t>YASAL DAYANAKLAR</w:t>
            </w:r>
          </w:p>
          <w:p w14:paraId="4A021AEF"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2547 Sayılı Yükseköğretim Kanunu</w:t>
            </w:r>
          </w:p>
          <w:p w14:paraId="4DD01D43"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657 sayılı Kanun ve buna bağlı düzenlemeler</w:t>
            </w:r>
          </w:p>
          <w:p w14:paraId="43FF7665" w14:textId="77777777" w:rsidR="009F6560" w:rsidRPr="009F6560" w:rsidRDefault="009F6560" w:rsidP="009F6560">
            <w:pPr>
              <w:pStyle w:val="ListeParagraf"/>
              <w:numPr>
                <w:ilvl w:val="0"/>
                <w:numId w:val="25"/>
              </w:numPr>
              <w:spacing w:after="160" w:line="360" w:lineRule="auto"/>
              <w:ind w:right="283"/>
              <w:jc w:val="both"/>
              <w:rPr>
                <w:sz w:val="22"/>
                <w:szCs w:val="22"/>
              </w:rPr>
            </w:pPr>
            <w:r w:rsidRPr="009F6560">
              <w:rPr>
                <w:sz w:val="22"/>
                <w:szCs w:val="22"/>
              </w:rPr>
              <w:t>Yükseköğretim Kuramları Arasında Öğrenci ve Öğretim Üyesi Değişim Programına İlişkin Yönetmelik</w:t>
            </w:r>
          </w:p>
          <w:p w14:paraId="4CA2D2AD" w14:textId="2D21B607" w:rsidR="0063693A" w:rsidRDefault="0063693A" w:rsidP="0063693A">
            <w:pPr>
              <w:widowControl w:val="0"/>
              <w:autoSpaceDE w:val="0"/>
              <w:autoSpaceDN w:val="0"/>
              <w:spacing w:line="360" w:lineRule="auto"/>
              <w:jc w:val="both"/>
              <w:rPr>
                <w:szCs w:val="18"/>
              </w:rPr>
            </w:pPr>
          </w:p>
          <w:p w14:paraId="01510642" w14:textId="77777777" w:rsidR="009F6560" w:rsidRDefault="009F6560"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619C" w14:textId="77777777" w:rsidR="00BF1B82" w:rsidRDefault="00BF1B82" w:rsidP="0072515F">
      <w:r>
        <w:separator/>
      </w:r>
    </w:p>
  </w:endnote>
  <w:endnote w:type="continuationSeparator" w:id="0">
    <w:p w14:paraId="60EED8CB" w14:textId="77777777" w:rsidR="00BF1B82" w:rsidRDefault="00BF1B82"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2AC7" w14:textId="77777777" w:rsidR="0063693A" w:rsidRDefault="006369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919779F" w:rsidR="00D018D2" w:rsidRPr="001E3951" w:rsidRDefault="00896A26"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58A21AC8" w:rsidR="00D018D2" w:rsidRPr="001E3951" w:rsidRDefault="00896A26"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EE15" w14:textId="77777777" w:rsidR="0063693A" w:rsidRDefault="006369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02D6" w14:textId="77777777" w:rsidR="00BF1B82" w:rsidRDefault="00BF1B82" w:rsidP="0072515F">
      <w:r>
        <w:separator/>
      </w:r>
    </w:p>
  </w:footnote>
  <w:footnote w:type="continuationSeparator" w:id="0">
    <w:p w14:paraId="4A943E1E" w14:textId="77777777" w:rsidR="00BF1B82" w:rsidRDefault="00BF1B82"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8AA30" w14:textId="77777777" w:rsidR="0063693A" w:rsidRDefault="0063693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0490D386" w14:textId="77777777" w:rsidR="00AB4B36" w:rsidRPr="00AB4B36" w:rsidRDefault="00AB4B36" w:rsidP="00AB4B36">
          <w:pPr>
            <w:spacing w:line="276" w:lineRule="auto"/>
            <w:jc w:val="center"/>
            <w:rPr>
              <w:b/>
              <w:sz w:val="24"/>
              <w:szCs w:val="24"/>
            </w:rPr>
          </w:pPr>
          <w:r w:rsidRPr="00AB4B36">
            <w:rPr>
              <w:b/>
              <w:sz w:val="24"/>
              <w:szCs w:val="24"/>
            </w:rPr>
            <w:t xml:space="preserve">ÖĞRENCİ İŞLERİ DAİRE BAŞKANLIĞI </w:t>
          </w:r>
        </w:p>
        <w:p w14:paraId="430F5C6C" w14:textId="77777777" w:rsidR="00AB4B36" w:rsidRPr="00AB4B36" w:rsidRDefault="00AB4B36" w:rsidP="00AB4B36">
          <w:pPr>
            <w:spacing w:line="276" w:lineRule="auto"/>
            <w:jc w:val="center"/>
            <w:rPr>
              <w:b/>
              <w:sz w:val="24"/>
              <w:szCs w:val="24"/>
            </w:rPr>
          </w:pPr>
          <w:r w:rsidRPr="00AB4B36">
            <w:rPr>
              <w:b/>
              <w:sz w:val="24"/>
              <w:szCs w:val="24"/>
            </w:rPr>
            <w:t>OTOMASYON MEMURU</w:t>
          </w:r>
        </w:p>
        <w:p w14:paraId="3505B2D2" w14:textId="3F598389" w:rsidR="000D250F" w:rsidRPr="00D82ADE" w:rsidRDefault="00AB4B36" w:rsidP="00AB4B36">
          <w:pPr>
            <w:spacing w:line="276" w:lineRule="auto"/>
            <w:jc w:val="center"/>
            <w:rPr>
              <w:b/>
              <w:sz w:val="24"/>
              <w:szCs w:val="24"/>
            </w:rPr>
          </w:pPr>
          <w:r w:rsidRPr="00AB4B36">
            <w:rPr>
              <w:b/>
              <w:sz w:val="24"/>
              <w:szCs w:val="24"/>
            </w:rPr>
            <w:t>GÖREV TANIMI</w:t>
          </w:r>
        </w:p>
      </w:tc>
      <w:tc>
        <w:tcPr>
          <w:tcW w:w="1250" w:type="pct"/>
          <w:vAlign w:val="center"/>
        </w:tcPr>
        <w:p w14:paraId="36A9E833" w14:textId="7A4647F2" w:rsidR="000D250F" w:rsidRPr="007B4963" w:rsidRDefault="000D250F" w:rsidP="00B700B4">
          <w:pPr>
            <w:spacing w:line="276" w:lineRule="auto"/>
          </w:pPr>
          <w:r w:rsidRPr="007B4963">
            <w:t>Doküman No:</w:t>
          </w:r>
          <w:r w:rsidR="0075657F">
            <w:t xml:space="preserve"> </w:t>
          </w:r>
          <w:r w:rsidR="009920EC">
            <w:t>GRV-0</w:t>
          </w:r>
          <w:r w:rsidR="00AB4B36">
            <w:t>108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7CC1138"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896A26">
            <w:rPr>
              <w:noProof/>
            </w:rPr>
            <w:t>1</w:t>
          </w:r>
          <w:r w:rsidR="0063693A" w:rsidRPr="0063693A">
            <w:fldChar w:fldCharType="end"/>
          </w:r>
          <w:r w:rsidR="0063693A" w:rsidRPr="0063693A">
            <w:t xml:space="preserve"> / </w:t>
          </w:r>
          <w:r w:rsidR="00BF1B82">
            <w:fldChar w:fldCharType="begin"/>
          </w:r>
          <w:r w:rsidR="00BF1B82">
            <w:instrText>NUMPAGES  \* Arabic  \* MERGEFORMAT</w:instrText>
          </w:r>
          <w:r w:rsidR="00BF1B82">
            <w:fldChar w:fldCharType="separate"/>
          </w:r>
          <w:r w:rsidR="00896A26">
            <w:rPr>
              <w:noProof/>
            </w:rPr>
            <w:t>2</w:t>
          </w:r>
          <w:r w:rsidR="00BF1B82">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4A21" w14:textId="77777777" w:rsidR="0063693A" w:rsidRDefault="0063693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B2E675F"/>
    <w:multiLevelType w:val="hybridMultilevel"/>
    <w:tmpl w:val="EED28CC6"/>
    <w:lvl w:ilvl="0" w:tplc="31889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89374D"/>
    <w:multiLevelType w:val="hybridMultilevel"/>
    <w:tmpl w:val="93B89E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0D5930"/>
    <w:multiLevelType w:val="hybridMultilevel"/>
    <w:tmpl w:val="95265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5"/>
  </w:num>
  <w:num w:numId="4">
    <w:abstractNumId w:val="10"/>
  </w:num>
  <w:num w:numId="5">
    <w:abstractNumId w:val="4"/>
  </w:num>
  <w:num w:numId="6">
    <w:abstractNumId w:val="12"/>
  </w:num>
  <w:num w:numId="7">
    <w:abstractNumId w:val="11"/>
  </w:num>
  <w:num w:numId="8">
    <w:abstractNumId w:val="2"/>
  </w:num>
  <w:num w:numId="9">
    <w:abstractNumId w:val="19"/>
  </w:num>
  <w:num w:numId="10">
    <w:abstractNumId w:val="8"/>
  </w:num>
  <w:num w:numId="11">
    <w:abstractNumId w:val="16"/>
  </w:num>
  <w:num w:numId="12">
    <w:abstractNumId w:val="24"/>
  </w:num>
  <w:num w:numId="13">
    <w:abstractNumId w:val="27"/>
  </w:num>
  <w:num w:numId="14">
    <w:abstractNumId w:val="15"/>
  </w:num>
  <w:num w:numId="15">
    <w:abstractNumId w:val="1"/>
  </w:num>
  <w:num w:numId="16">
    <w:abstractNumId w:val="17"/>
  </w:num>
  <w:num w:numId="17">
    <w:abstractNumId w:val="9"/>
  </w:num>
  <w:num w:numId="18">
    <w:abstractNumId w:val="7"/>
  </w:num>
  <w:num w:numId="19">
    <w:abstractNumId w:val="21"/>
    <w:lvlOverride w:ilvl="0">
      <w:startOverride w:val="1"/>
    </w:lvlOverride>
  </w:num>
  <w:num w:numId="20">
    <w:abstractNumId w:val="26"/>
  </w:num>
  <w:num w:numId="21">
    <w:abstractNumId w:val="0"/>
  </w:num>
  <w:num w:numId="22">
    <w:abstractNumId w:val="22"/>
  </w:num>
  <w:num w:numId="23">
    <w:abstractNumId w:val="20"/>
  </w:num>
  <w:num w:numId="24">
    <w:abstractNumId w:val="13"/>
  </w:num>
  <w:num w:numId="25">
    <w:abstractNumId w:val="18"/>
  </w:num>
  <w:num w:numId="26">
    <w:abstractNumId w:val="23"/>
  </w:num>
  <w:num w:numId="27">
    <w:abstractNumId w:val="3"/>
  </w:num>
  <w:num w:numId="28">
    <w:abstractNumId w:val="29"/>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96A26"/>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560"/>
    <w:rsid w:val="009F6833"/>
    <w:rsid w:val="00A045FF"/>
    <w:rsid w:val="00A1047B"/>
    <w:rsid w:val="00A27A71"/>
    <w:rsid w:val="00A41FC0"/>
    <w:rsid w:val="00A4526C"/>
    <w:rsid w:val="00A86033"/>
    <w:rsid w:val="00AA0D67"/>
    <w:rsid w:val="00AB1F2D"/>
    <w:rsid w:val="00AB4B36"/>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1B82"/>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 w:val="00FF1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Exact">
    <w:name w:val="Body text (3) Exact"/>
    <w:basedOn w:val="VarsaylanParagrafYazTipi"/>
    <w:rsid w:val="009F6560"/>
    <w:rPr>
      <w:rFonts w:ascii="Times New Roman" w:eastAsia="Times New Roman" w:hAnsi="Times New Roman" w:cs="Times New Roman"/>
      <w:color w:val="000000"/>
      <w:spacing w:val="0"/>
      <w:w w:val="100"/>
      <w:position w:val="0"/>
      <w:sz w:val="14"/>
      <w:szCs w:val="14"/>
      <w:u w:val="singl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62E7-BA59-4133-9B41-4B2AB4BD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422</Words>
  <Characters>2409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143</cp:revision>
  <cp:lastPrinted>2022-04-20T11:11:00Z</cp:lastPrinted>
  <dcterms:created xsi:type="dcterms:W3CDTF">2017-07-17T11:46:00Z</dcterms:created>
  <dcterms:modified xsi:type="dcterms:W3CDTF">2022-11-17T06:44:00Z</dcterms:modified>
</cp:coreProperties>
</file>