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FF72C" w14:textId="77777777" w:rsidR="00347120" w:rsidRDefault="00347120"/>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177D2F3B" w14:textId="388996F1" w:rsidR="00347120" w:rsidRDefault="00347120" w:rsidP="00344B36">
            <w:pPr>
              <w:pStyle w:val="ListeParagraf"/>
              <w:ind w:left="0"/>
              <w:jc w:val="both"/>
              <w:rPr>
                <w:sz w:val="22"/>
                <w:szCs w:val="22"/>
              </w:rPr>
            </w:pPr>
          </w:p>
          <w:tbl>
            <w:tblPr>
              <w:tblStyle w:val="TabloKlavuzu"/>
              <w:tblW w:w="9933" w:type="dxa"/>
              <w:tblLayout w:type="fixed"/>
              <w:tblLook w:val="04A0" w:firstRow="1" w:lastRow="0" w:firstColumn="1" w:lastColumn="0" w:noHBand="0" w:noVBand="1"/>
            </w:tblPr>
            <w:tblGrid>
              <w:gridCol w:w="2983"/>
              <w:gridCol w:w="6950"/>
            </w:tblGrid>
            <w:tr w:rsidR="00347120" w:rsidRPr="005341CF" w14:paraId="4868BB9B" w14:textId="77777777" w:rsidTr="00347120">
              <w:trPr>
                <w:trHeight w:val="201"/>
              </w:trPr>
              <w:tc>
                <w:tcPr>
                  <w:tcW w:w="2983" w:type="dxa"/>
                  <w:tcBorders>
                    <w:left w:val="single" w:sz="18" w:space="0" w:color="auto"/>
                  </w:tcBorders>
                </w:tcPr>
                <w:p w14:paraId="21B915FC" w14:textId="77777777" w:rsidR="00347120" w:rsidRPr="00347120" w:rsidRDefault="00347120" w:rsidP="00347120">
                  <w:pPr>
                    <w:rPr>
                      <w:b/>
                      <w:sz w:val="22"/>
                      <w:szCs w:val="22"/>
                    </w:rPr>
                  </w:pPr>
                  <w:r w:rsidRPr="00347120">
                    <w:rPr>
                      <w:b/>
                      <w:sz w:val="22"/>
                      <w:szCs w:val="22"/>
                    </w:rPr>
                    <w:t>Alt Birim Adı</w:t>
                  </w:r>
                </w:p>
              </w:tc>
              <w:tc>
                <w:tcPr>
                  <w:tcW w:w="6950" w:type="dxa"/>
                  <w:tcBorders>
                    <w:right w:val="single" w:sz="18" w:space="0" w:color="auto"/>
                  </w:tcBorders>
                </w:tcPr>
                <w:p w14:paraId="548D364B" w14:textId="527514CC" w:rsidR="00347120" w:rsidRPr="004F5F2C" w:rsidRDefault="004F5F2C" w:rsidP="00347120">
                  <w:pPr>
                    <w:rPr>
                      <w:sz w:val="22"/>
                      <w:szCs w:val="22"/>
                    </w:rPr>
                  </w:pPr>
                  <w:r w:rsidRPr="004F5F2C">
                    <w:rPr>
                      <w:sz w:val="22"/>
                      <w:szCs w:val="22"/>
                    </w:rPr>
                    <w:t>YAPI İŞLERİ VE TEKNİK DAİRE BAŞKANLIĞI</w:t>
                  </w:r>
                </w:p>
              </w:tc>
            </w:tr>
            <w:tr w:rsidR="009315F9" w:rsidRPr="00344B36" w14:paraId="0CD7788B" w14:textId="77777777" w:rsidTr="00347120">
              <w:trPr>
                <w:trHeight w:val="176"/>
              </w:trPr>
              <w:tc>
                <w:tcPr>
                  <w:tcW w:w="2983"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6950"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347120">
              <w:trPr>
                <w:trHeight w:val="176"/>
              </w:trPr>
              <w:tc>
                <w:tcPr>
                  <w:tcW w:w="2983"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6950" w:type="dxa"/>
                  <w:tcBorders>
                    <w:right w:val="single" w:sz="18" w:space="0" w:color="auto"/>
                  </w:tcBorders>
                </w:tcPr>
                <w:p w14:paraId="216BC26A" w14:textId="3921A1BA" w:rsidR="009315F9" w:rsidRPr="009315F9" w:rsidRDefault="009315F9" w:rsidP="009315F9">
                  <w:pPr>
                    <w:rPr>
                      <w:sz w:val="24"/>
                      <w:szCs w:val="24"/>
                    </w:rPr>
                  </w:pPr>
                </w:p>
              </w:tc>
            </w:tr>
            <w:tr w:rsidR="00347120" w:rsidRPr="00344B36" w14:paraId="5A6DE78F" w14:textId="77777777" w:rsidTr="00347120">
              <w:trPr>
                <w:trHeight w:val="176"/>
              </w:trPr>
              <w:tc>
                <w:tcPr>
                  <w:tcW w:w="2983" w:type="dxa"/>
                  <w:tcBorders>
                    <w:left w:val="single" w:sz="18" w:space="0" w:color="auto"/>
                  </w:tcBorders>
                </w:tcPr>
                <w:p w14:paraId="40BDF7B9" w14:textId="77777777" w:rsidR="00347120" w:rsidRPr="00344B36" w:rsidRDefault="00347120" w:rsidP="00347120">
                  <w:pPr>
                    <w:ind w:right="-312"/>
                    <w:rPr>
                      <w:b/>
                      <w:sz w:val="22"/>
                      <w:szCs w:val="22"/>
                    </w:rPr>
                  </w:pPr>
                  <w:r w:rsidRPr="00344B36">
                    <w:rPr>
                      <w:b/>
                      <w:sz w:val="22"/>
                      <w:szCs w:val="22"/>
                    </w:rPr>
                    <w:t>Görev Unvanı</w:t>
                  </w:r>
                </w:p>
              </w:tc>
              <w:tc>
                <w:tcPr>
                  <w:tcW w:w="6950" w:type="dxa"/>
                  <w:tcBorders>
                    <w:right w:val="single" w:sz="18" w:space="0" w:color="auto"/>
                  </w:tcBorders>
                </w:tcPr>
                <w:p w14:paraId="52D542BB" w14:textId="5DDEF0E1" w:rsidR="00347120" w:rsidRPr="00347120" w:rsidRDefault="00347120" w:rsidP="00347120">
                  <w:pPr>
                    <w:rPr>
                      <w:sz w:val="22"/>
                      <w:szCs w:val="22"/>
                    </w:rPr>
                  </w:pPr>
                  <w:r w:rsidRPr="00347120">
                    <w:rPr>
                      <w:sz w:val="22"/>
                      <w:szCs w:val="22"/>
                    </w:rPr>
                    <w:t xml:space="preserve">MEMUR/ BİLGİSAYAR İŞLETMENİ/ TEKNİSYEN/ TEKNİKER/ MÜHENDİS/ MİMAR/ ŞUBE MÜDÜR/ DAİRE BAŞKANI  </w:t>
                  </w:r>
                </w:p>
              </w:tc>
            </w:tr>
            <w:tr w:rsidR="00347120" w:rsidRPr="00344B36" w14:paraId="1180D1C8" w14:textId="77777777" w:rsidTr="00347120">
              <w:trPr>
                <w:trHeight w:val="176"/>
              </w:trPr>
              <w:tc>
                <w:tcPr>
                  <w:tcW w:w="2983" w:type="dxa"/>
                  <w:tcBorders>
                    <w:left w:val="single" w:sz="18" w:space="0" w:color="auto"/>
                  </w:tcBorders>
                </w:tcPr>
                <w:p w14:paraId="45593ACE" w14:textId="77777777" w:rsidR="00347120" w:rsidRPr="00344B36" w:rsidRDefault="00347120" w:rsidP="00347120">
                  <w:pPr>
                    <w:ind w:right="-312"/>
                    <w:rPr>
                      <w:b/>
                      <w:sz w:val="22"/>
                      <w:szCs w:val="22"/>
                    </w:rPr>
                  </w:pPr>
                  <w:r w:rsidRPr="00344B36">
                    <w:rPr>
                      <w:b/>
                      <w:sz w:val="22"/>
                      <w:szCs w:val="22"/>
                    </w:rPr>
                    <w:t>İletişim / E-mail</w:t>
                  </w:r>
                </w:p>
              </w:tc>
              <w:tc>
                <w:tcPr>
                  <w:tcW w:w="6950" w:type="dxa"/>
                  <w:tcBorders>
                    <w:right w:val="single" w:sz="18" w:space="0" w:color="auto"/>
                  </w:tcBorders>
                </w:tcPr>
                <w:p w14:paraId="0B31D338" w14:textId="77777777" w:rsidR="00347120" w:rsidRPr="00347120" w:rsidRDefault="00347120" w:rsidP="00347120">
                  <w:pPr>
                    <w:rPr>
                      <w:sz w:val="22"/>
                      <w:szCs w:val="22"/>
                    </w:rPr>
                  </w:pPr>
                </w:p>
              </w:tc>
            </w:tr>
            <w:tr w:rsidR="00347120" w:rsidRPr="00344B36" w14:paraId="24464901" w14:textId="77777777" w:rsidTr="00347120">
              <w:trPr>
                <w:trHeight w:val="176"/>
              </w:trPr>
              <w:tc>
                <w:tcPr>
                  <w:tcW w:w="2983" w:type="dxa"/>
                  <w:tcBorders>
                    <w:left w:val="single" w:sz="18" w:space="0" w:color="auto"/>
                  </w:tcBorders>
                </w:tcPr>
                <w:p w14:paraId="15FC8F3F" w14:textId="77777777" w:rsidR="00347120" w:rsidRPr="00344B36" w:rsidRDefault="00347120" w:rsidP="00347120">
                  <w:pPr>
                    <w:ind w:right="-312"/>
                    <w:rPr>
                      <w:b/>
                      <w:sz w:val="22"/>
                      <w:szCs w:val="22"/>
                    </w:rPr>
                  </w:pPr>
                  <w:r w:rsidRPr="00344B36">
                    <w:rPr>
                      <w:b/>
                      <w:sz w:val="22"/>
                      <w:szCs w:val="22"/>
                    </w:rPr>
                    <w:t>Üst Yönetici/Yöneticileri</w:t>
                  </w:r>
                </w:p>
              </w:tc>
              <w:tc>
                <w:tcPr>
                  <w:tcW w:w="6950" w:type="dxa"/>
                  <w:tcBorders>
                    <w:right w:val="single" w:sz="18" w:space="0" w:color="auto"/>
                  </w:tcBorders>
                </w:tcPr>
                <w:p w14:paraId="15101019" w14:textId="40B41217" w:rsidR="00347120" w:rsidRPr="00347120" w:rsidRDefault="00347120" w:rsidP="00347120">
                  <w:pPr>
                    <w:rPr>
                      <w:sz w:val="22"/>
                      <w:szCs w:val="22"/>
                    </w:rPr>
                  </w:pPr>
                  <w:r w:rsidRPr="00347120">
                    <w:rPr>
                      <w:sz w:val="22"/>
                      <w:szCs w:val="22"/>
                    </w:rPr>
                    <w:t>BİRİM AMİRİ</w:t>
                  </w:r>
                </w:p>
              </w:tc>
            </w:tr>
            <w:tr w:rsidR="00347120" w:rsidRPr="00344B36" w14:paraId="1B0C31D5" w14:textId="77777777" w:rsidTr="00347120">
              <w:trPr>
                <w:trHeight w:val="355"/>
              </w:trPr>
              <w:tc>
                <w:tcPr>
                  <w:tcW w:w="2983" w:type="dxa"/>
                  <w:tcBorders>
                    <w:left w:val="single" w:sz="18" w:space="0" w:color="auto"/>
                  </w:tcBorders>
                </w:tcPr>
                <w:p w14:paraId="376B6E80" w14:textId="654FFFC0" w:rsidR="00347120" w:rsidRPr="00344B36" w:rsidRDefault="00347120" w:rsidP="00347120">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6950" w:type="dxa"/>
                  <w:tcBorders>
                    <w:right w:val="single" w:sz="18" w:space="0" w:color="auto"/>
                  </w:tcBorders>
                </w:tcPr>
                <w:p w14:paraId="2F7AF4C0" w14:textId="77777777" w:rsidR="00347120" w:rsidRPr="00344B36" w:rsidRDefault="00347120" w:rsidP="00347120">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E3F3948" w14:textId="3EF388D3" w:rsidR="00347120" w:rsidRPr="00347120" w:rsidRDefault="00347120" w:rsidP="00347120">
            <w:pPr>
              <w:spacing w:line="360" w:lineRule="auto"/>
              <w:rPr>
                <w:sz w:val="22"/>
                <w:szCs w:val="22"/>
              </w:rPr>
            </w:pPr>
            <w:r w:rsidRPr="00347120">
              <w:rPr>
                <w:sz w:val="22"/>
                <w:szCs w:val="22"/>
              </w:rPr>
              <w:t>Başkanlığımız tarafından verilen görev ve sorumluluk dahilinde Görevli olduğu iş ve işlemleri kanun ve diğer mevzuat düzenlemelerine uygun olarak yerine getiren personel.</w:t>
            </w:r>
          </w:p>
          <w:p w14:paraId="6A856DE6" w14:textId="77777777" w:rsidR="00347120" w:rsidRPr="00266196" w:rsidRDefault="00347120" w:rsidP="00347120">
            <w:pPr>
              <w:rPr>
                <w:sz w:val="28"/>
                <w:szCs w:val="24"/>
              </w:rPr>
            </w:pPr>
          </w:p>
          <w:p w14:paraId="44DD51A2" w14:textId="77777777" w:rsidR="00347120" w:rsidRPr="009315F9" w:rsidRDefault="00347120" w:rsidP="00347120">
            <w:pPr>
              <w:spacing w:line="360" w:lineRule="auto"/>
              <w:rPr>
                <w:b/>
                <w:sz w:val="22"/>
                <w:szCs w:val="22"/>
              </w:rPr>
            </w:pPr>
            <w:r w:rsidRPr="009315F9">
              <w:rPr>
                <w:b/>
                <w:sz w:val="22"/>
                <w:szCs w:val="22"/>
              </w:rPr>
              <w:t>GÖREV, YETKİ VE SORUMLULUKLAR</w:t>
            </w:r>
          </w:p>
          <w:p w14:paraId="7B3A1795"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Üniversitemiz Rektörlüğü ve bağlı birimlerin (fakülte, yüksekokul, enstitüler ve araştırma ve uygulama merkezleri) ihtiyaç duydukları binaların bakım, onarım ve tadilatları için malzeme ve hizmet alımlarını; 4734 Sayılı Kamu İhale Kanunu, 4735 Sayılı Kamu İhaleleri Sözleşme Kanunu çerçevesinde piyasa araştırmalarını yaparak en ekonomik en hızlı şekilde gerçekleştirmek,</w:t>
            </w:r>
          </w:p>
          <w:p w14:paraId="7EA79926"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Birimimize ayrılan ödenekler çerçevesinde doğrudan temini yapılacak yapım işlerine ve satın alması yapılacak mal ve hizmetlere ait teknik şartnamelerin yetkili ve yetkin kişi veya kişilerce hazırlanmasını sağlamak,</w:t>
            </w:r>
          </w:p>
          <w:p w14:paraId="7EAB47E7"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Hazırlanan teknik şartnameler dikkate alınarak yaklaşık maliyete esas olmak üzere piyasadan yazılı teklif almak,</w:t>
            </w:r>
          </w:p>
          <w:p w14:paraId="0BF267ED" w14:textId="274CEF01"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 xml:space="preserve">Toplanan proforma faturaları değerlendirerek yaklaşık maliyeti oluşturup 4734 </w:t>
            </w:r>
            <w:r w:rsidR="00307570" w:rsidRPr="00347120">
              <w:rPr>
                <w:sz w:val="22"/>
                <w:szCs w:val="22"/>
              </w:rPr>
              <w:t>Sayılı Kanun’da</w:t>
            </w:r>
            <w:r w:rsidRPr="00347120">
              <w:rPr>
                <w:sz w:val="22"/>
                <w:szCs w:val="22"/>
              </w:rPr>
              <w:t xml:space="preserve"> belirlenen esaslara göre satın almayı gerçekleştirmek,</w:t>
            </w:r>
          </w:p>
          <w:p w14:paraId="6D899E13" w14:textId="1CDBEEDA"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Gerek mal alımlarında gerek hizmet alımlarında gerek yapım, bakım onarım işlerinde işin kabulü amacı ile işin niteliğine göre muayene kabul komisyonu, iş teslim alma komisyonu, yer veya iş teslimi görevlisi, işi teslim alma komisyonu vb. komisyon oluşturulması, kişi veya kişilerin görevlendirilmesini sağlamak,</w:t>
            </w:r>
          </w:p>
          <w:p w14:paraId="53823AD5"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Malın veya hizmetin tamamlanması veya teslim alınmasını müteakip, ilgili komisyon veya kişilerin tarih belirterek işi teslim aldıklarını, işin bittiğini veya malın teknik şartlara uygun olarak teslim alındığını beyan etmelerini sağlamak ve bu kabul tutanağını ilgili faaliyete ait dosyada muhafaza etmek,</w:t>
            </w:r>
          </w:p>
          <w:p w14:paraId="4617E800"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İhtiyaç listesi, teknik şartname, sözleşme tasarısı dosyası oluşturmak,</w:t>
            </w:r>
          </w:p>
          <w:p w14:paraId="1E2C340D"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 xml:space="preserve">Satın alınan malların süresi içerisinde ilgili birime teslim edilip edilmediğini kontrol etmek. Teslim </w:t>
            </w:r>
            <w:r w:rsidRPr="00347120">
              <w:rPr>
                <w:sz w:val="22"/>
                <w:szCs w:val="22"/>
              </w:rPr>
              <w:lastRenderedPageBreak/>
              <w:t>edilen mallar ve hizmetler için faturalarını kestirip, taşınır kayıt kontrol birimine alınan malla ilgili taşınır işlem fişinin düzenletmek,</w:t>
            </w:r>
          </w:p>
          <w:p w14:paraId="20D5875A" w14:textId="6820E326"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 xml:space="preserve">Faturası ve taşınır işlem fişi gelen mallarla ilgili süreç sonuçlanıncaya kadar hazırlanan tüm evrak ve formların yer aldığı ödeme dosyalarını hazırlamak ve tahakkuk </w:t>
            </w:r>
            <w:r w:rsidR="00307570" w:rsidRPr="00347120">
              <w:rPr>
                <w:sz w:val="22"/>
                <w:szCs w:val="22"/>
              </w:rPr>
              <w:t>birimine</w:t>
            </w:r>
            <w:r w:rsidRPr="00347120">
              <w:rPr>
                <w:sz w:val="22"/>
                <w:szCs w:val="22"/>
              </w:rPr>
              <w:t xml:space="preserve"> teslim etmek,</w:t>
            </w:r>
          </w:p>
          <w:p w14:paraId="3AB65D1D"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Doğrudan teminle satın alması yapılan, sözleşmesi imzalanarak taahhütleri altında yapımı tamamlanan yapım işleri ile satın alınan mallardan teslim edilenler ile ilgili yüklenici firmanın vermiş olduğu % 6 oranındaki kesin teminatlarının %3 lük tutarlarının iadesini yapmak,</w:t>
            </w:r>
          </w:p>
          <w:p w14:paraId="011EFE13"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Sözleşme süreleri ve garanti süreleri dolmuş olan işler ile ilgili % 6’lık veya kalan % 3 oranındaki kesin teminatlarının ilgili banka şubelerine iade etmek,</w:t>
            </w:r>
          </w:p>
          <w:p w14:paraId="1D05DEE5"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İhale mevzuatını yakından takip etmek ve bu konuda personelin eğitim ihtiyaçlarını tespit ederek personeli eğitmek,</w:t>
            </w:r>
          </w:p>
          <w:p w14:paraId="0544AF51"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14- Kendi biriminde yapılan ihale/satın alma işlemleri ve tahakkuk işlemleri ile ilgili istatistikî bilgileri tutmak, güncellemek ve raporlarını hazırlamak,</w:t>
            </w:r>
          </w:p>
          <w:p w14:paraId="37067747"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Doğrudan temin ile satın alması yapılan işlerin SGK bildirimlerini yapmak, takip etmek,</w:t>
            </w:r>
          </w:p>
          <w:p w14:paraId="0E1AAD82"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Başkan tarafından verilen diğer görevleri yapmak.</w:t>
            </w:r>
          </w:p>
          <w:p w14:paraId="307F13C4" w14:textId="77777777" w:rsidR="00347120" w:rsidRPr="00C24DCD" w:rsidRDefault="00347120" w:rsidP="00347120">
            <w:pPr>
              <w:rPr>
                <w:sz w:val="28"/>
                <w:szCs w:val="24"/>
              </w:rPr>
            </w:pPr>
          </w:p>
          <w:p w14:paraId="62BE70E6" w14:textId="77777777" w:rsidR="00347120" w:rsidRPr="009315F9" w:rsidRDefault="00347120" w:rsidP="00347120">
            <w:pPr>
              <w:pStyle w:val="ListeParagraf"/>
              <w:spacing w:line="360" w:lineRule="auto"/>
              <w:ind w:left="0"/>
              <w:jc w:val="both"/>
              <w:rPr>
                <w:b/>
                <w:sz w:val="22"/>
                <w:szCs w:val="22"/>
              </w:rPr>
            </w:pPr>
            <w:r w:rsidRPr="009315F9">
              <w:rPr>
                <w:b/>
                <w:sz w:val="22"/>
                <w:szCs w:val="22"/>
              </w:rPr>
              <w:t>GÖREVİN GEREKTİRDİĞİ NİTELİKLER</w:t>
            </w:r>
          </w:p>
          <w:p w14:paraId="4FD61599"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657 sayılı Devlet Memurları Kanunu’nda belirtilen şartları taşımak</w:t>
            </w:r>
          </w:p>
          <w:p w14:paraId="630772C2"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4734 Sayılı Kamu İhale Kanunu bilgisine hakim olmak.</w:t>
            </w:r>
          </w:p>
          <w:p w14:paraId="2FCA7710"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Faaliyetlerin en iyi şekilde sürdürebilmesi için gerekli karar verme ve sorun çözme niteliklerine sahip olmak</w:t>
            </w:r>
          </w:p>
          <w:p w14:paraId="05465A96" w14:textId="77777777" w:rsidR="00347120" w:rsidRDefault="00347120" w:rsidP="00347120">
            <w:pPr>
              <w:rPr>
                <w:b/>
              </w:rPr>
            </w:pPr>
          </w:p>
          <w:p w14:paraId="338DBA16" w14:textId="77777777" w:rsidR="00347120" w:rsidRPr="009315F9" w:rsidRDefault="00347120" w:rsidP="00347120">
            <w:pPr>
              <w:pStyle w:val="ListeParagraf"/>
              <w:spacing w:line="360" w:lineRule="auto"/>
              <w:ind w:left="0"/>
              <w:jc w:val="both"/>
              <w:rPr>
                <w:b/>
                <w:sz w:val="22"/>
                <w:szCs w:val="22"/>
              </w:rPr>
            </w:pPr>
            <w:r w:rsidRPr="009315F9">
              <w:rPr>
                <w:b/>
                <w:sz w:val="22"/>
                <w:szCs w:val="22"/>
              </w:rPr>
              <w:t>YASAL DAYANAKLAR</w:t>
            </w:r>
          </w:p>
          <w:p w14:paraId="6A981BCA"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657 sayılı Devlet Memurları Kanunu</w:t>
            </w:r>
          </w:p>
          <w:p w14:paraId="686F0227" w14:textId="77777777"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124 sayılı Yükseköğretim Üst Kuruluşları ile Yükseköğretim Kurumlarının İdari Teşkilatı Hakkında Kanun Hükmünde Kararname</w:t>
            </w:r>
          </w:p>
          <w:p w14:paraId="05B26FFB" w14:textId="192FE463" w:rsidR="00347120"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 xml:space="preserve">4734 Sayılı Kamu İhale Kanunu’na </w:t>
            </w:r>
          </w:p>
          <w:p w14:paraId="4CA2D2AD" w14:textId="55A19963" w:rsidR="0063693A" w:rsidRPr="00347120" w:rsidRDefault="00347120" w:rsidP="00347120">
            <w:pPr>
              <w:pStyle w:val="ListeParagraf"/>
              <w:numPr>
                <w:ilvl w:val="0"/>
                <w:numId w:val="25"/>
              </w:numPr>
              <w:spacing w:after="160" w:line="360" w:lineRule="auto"/>
              <w:ind w:right="283"/>
              <w:jc w:val="both"/>
              <w:rPr>
                <w:sz w:val="22"/>
                <w:szCs w:val="22"/>
              </w:rPr>
            </w:pPr>
            <w:r w:rsidRPr="00347120">
              <w:rPr>
                <w:sz w:val="22"/>
                <w:szCs w:val="22"/>
              </w:rPr>
              <w:t>5018 sayılı Kamu Mali Yönetimi ve Kontrol Kanunu</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3A9B1" w14:textId="77777777" w:rsidR="00FE2F82" w:rsidRDefault="00FE2F82" w:rsidP="0072515F">
      <w:r>
        <w:separator/>
      </w:r>
    </w:p>
  </w:endnote>
  <w:endnote w:type="continuationSeparator" w:id="0">
    <w:p w14:paraId="29C2FFEC" w14:textId="77777777" w:rsidR="00FE2F82" w:rsidRDefault="00FE2F8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BB1E0" w14:textId="77777777" w:rsidR="00347120" w:rsidRDefault="0034712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860C4E8" w:rsidR="00D018D2" w:rsidRPr="001E3951" w:rsidRDefault="009B4631"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50FAC7A8" w:rsidR="00D018D2" w:rsidRPr="001E3951" w:rsidRDefault="009B4631"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A391" w14:textId="77777777" w:rsidR="00347120" w:rsidRDefault="003471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93F6" w14:textId="77777777" w:rsidR="00FE2F82" w:rsidRDefault="00FE2F82" w:rsidP="0072515F">
      <w:r>
        <w:separator/>
      </w:r>
    </w:p>
  </w:footnote>
  <w:footnote w:type="continuationSeparator" w:id="0">
    <w:p w14:paraId="2869A0B5" w14:textId="77777777" w:rsidR="00FE2F82" w:rsidRDefault="00FE2F82"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CDCCE" w14:textId="77777777" w:rsidR="00347120" w:rsidRDefault="0034712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1950740D" w14:textId="6D1940DD" w:rsidR="00347120" w:rsidRPr="00347120" w:rsidRDefault="00D82ADE" w:rsidP="00347120">
          <w:pPr>
            <w:spacing w:line="276" w:lineRule="auto"/>
            <w:jc w:val="center"/>
            <w:rPr>
              <w:b/>
              <w:sz w:val="24"/>
              <w:szCs w:val="24"/>
            </w:rPr>
          </w:pPr>
          <w:r>
            <w:rPr>
              <w:b/>
              <w:sz w:val="24"/>
              <w:szCs w:val="24"/>
            </w:rPr>
            <w:t xml:space="preserve">HARRAN ÜNİVERSİTESİ </w:t>
          </w:r>
        </w:p>
        <w:p w14:paraId="61625F72" w14:textId="3E80C52E" w:rsidR="00D82ADE" w:rsidRDefault="00347120" w:rsidP="00347120">
          <w:pPr>
            <w:spacing w:line="276" w:lineRule="auto"/>
            <w:jc w:val="center"/>
            <w:rPr>
              <w:b/>
              <w:sz w:val="24"/>
              <w:szCs w:val="24"/>
            </w:rPr>
          </w:pPr>
          <w:r w:rsidRPr="00347120">
            <w:rPr>
              <w:b/>
              <w:sz w:val="24"/>
              <w:szCs w:val="24"/>
            </w:rPr>
            <w:t>YAPI İŞLERİ VE TEKNİK DAİRE BAŞKANLIĞI</w:t>
          </w:r>
        </w:p>
        <w:p w14:paraId="3505B2D2" w14:textId="6ADC6AD7" w:rsidR="000D250F" w:rsidRPr="00D82ADE" w:rsidRDefault="00347120" w:rsidP="000A48A5">
          <w:pPr>
            <w:spacing w:line="276" w:lineRule="auto"/>
            <w:jc w:val="center"/>
            <w:rPr>
              <w:b/>
              <w:sz w:val="24"/>
              <w:szCs w:val="24"/>
            </w:rPr>
          </w:pPr>
          <w:r w:rsidRPr="00347120">
            <w:rPr>
              <w:b/>
              <w:sz w:val="24"/>
              <w:szCs w:val="24"/>
            </w:rPr>
            <w:t xml:space="preserve">DOĞRUDAN TEMİN GÖREVLİSİ </w:t>
          </w:r>
          <w:r w:rsidR="009920EC">
            <w:rPr>
              <w:b/>
              <w:sz w:val="24"/>
              <w:szCs w:val="24"/>
            </w:rPr>
            <w:t>GÖREV TANIMI</w:t>
          </w:r>
        </w:p>
      </w:tc>
      <w:tc>
        <w:tcPr>
          <w:tcW w:w="1250" w:type="pct"/>
          <w:vAlign w:val="center"/>
        </w:tcPr>
        <w:p w14:paraId="36A9E833" w14:textId="7B4CDAB6" w:rsidR="000D250F" w:rsidRPr="007B4963" w:rsidRDefault="000D250F" w:rsidP="00B700B4">
          <w:pPr>
            <w:spacing w:line="276" w:lineRule="auto"/>
          </w:pPr>
          <w:r w:rsidRPr="007B4963">
            <w:t>Doküman No:</w:t>
          </w:r>
          <w:r w:rsidR="0075657F">
            <w:t xml:space="preserve"> </w:t>
          </w:r>
          <w:r w:rsidR="009920EC">
            <w:t>GRV-0</w:t>
          </w:r>
          <w:r w:rsidR="00347120">
            <w:t>1</w:t>
          </w:r>
          <w:r w:rsidR="00D17841">
            <w:t>21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C7E6DF3"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B4631">
            <w:rPr>
              <w:noProof/>
            </w:rPr>
            <w:t>1</w:t>
          </w:r>
          <w:r w:rsidR="0063693A" w:rsidRPr="0063693A">
            <w:fldChar w:fldCharType="end"/>
          </w:r>
          <w:r w:rsidR="0063693A" w:rsidRPr="0063693A">
            <w:t xml:space="preserve"> / </w:t>
          </w:r>
          <w:fldSimple w:instr="NUMPAGES  \* Arabic  \* MERGEFORMAT">
            <w:r w:rsidR="009B4631">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2BFF" w14:textId="77777777" w:rsidR="00347120" w:rsidRDefault="003471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A764F9"/>
    <w:multiLevelType w:val="hybridMultilevel"/>
    <w:tmpl w:val="2EE4437C"/>
    <w:lvl w:ilvl="0" w:tplc="041F0001">
      <w:start w:val="1"/>
      <w:numFmt w:val="bullet"/>
      <w:lvlText w:val=""/>
      <w:lvlJc w:val="left"/>
      <w:pPr>
        <w:ind w:left="885" w:hanging="360"/>
      </w:pPr>
      <w:rPr>
        <w:rFonts w:ascii="Symbol" w:hAnsi="Symbol"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0572A16"/>
    <w:multiLevelType w:val="hybridMultilevel"/>
    <w:tmpl w:val="8902711E"/>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5"/>
  </w:num>
  <w:num w:numId="3">
    <w:abstractNumId w:val="6"/>
  </w:num>
  <w:num w:numId="4">
    <w:abstractNumId w:val="10"/>
  </w:num>
  <w:num w:numId="5">
    <w:abstractNumId w:val="5"/>
  </w:num>
  <w:num w:numId="6">
    <w:abstractNumId w:val="13"/>
  </w:num>
  <w:num w:numId="7">
    <w:abstractNumId w:val="12"/>
  </w:num>
  <w:num w:numId="8">
    <w:abstractNumId w:val="3"/>
  </w:num>
  <w:num w:numId="9">
    <w:abstractNumId w:val="19"/>
  </w:num>
  <w:num w:numId="10">
    <w:abstractNumId w:val="8"/>
  </w:num>
  <w:num w:numId="11">
    <w:abstractNumId w:val="16"/>
  </w:num>
  <w:num w:numId="12">
    <w:abstractNumId w:val="24"/>
  </w:num>
  <w:num w:numId="13">
    <w:abstractNumId w:val="28"/>
  </w:num>
  <w:num w:numId="14">
    <w:abstractNumId w:val="15"/>
  </w:num>
  <w:num w:numId="15">
    <w:abstractNumId w:val="1"/>
  </w:num>
  <w:num w:numId="16">
    <w:abstractNumId w:val="17"/>
  </w:num>
  <w:num w:numId="17">
    <w:abstractNumId w:val="9"/>
  </w:num>
  <w:num w:numId="18">
    <w:abstractNumId w:val="7"/>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4"/>
  </w:num>
  <w:num w:numId="25">
    <w:abstractNumId w:val="18"/>
  </w:num>
  <w:num w:numId="26">
    <w:abstractNumId w:val="23"/>
  </w:num>
  <w:num w:numId="27">
    <w:abstractNumId w:val="4"/>
  </w:num>
  <w:num w:numId="28">
    <w:abstractNumId w:val="2"/>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D4B8C"/>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07570"/>
    <w:rsid w:val="003121F0"/>
    <w:rsid w:val="00320786"/>
    <w:rsid w:val="0032099A"/>
    <w:rsid w:val="00341D8C"/>
    <w:rsid w:val="00344B36"/>
    <w:rsid w:val="00347120"/>
    <w:rsid w:val="003526FF"/>
    <w:rsid w:val="00377E75"/>
    <w:rsid w:val="00393036"/>
    <w:rsid w:val="003A4743"/>
    <w:rsid w:val="003B7FD4"/>
    <w:rsid w:val="003D363F"/>
    <w:rsid w:val="003D6853"/>
    <w:rsid w:val="003F51DD"/>
    <w:rsid w:val="0041445E"/>
    <w:rsid w:val="00420851"/>
    <w:rsid w:val="00441E30"/>
    <w:rsid w:val="004428DE"/>
    <w:rsid w:val="00455EE2"/>
    <w:rsid w:val="004645A2"/>
    <w:rsid w:val="004747B4"/>
    <w:rsid w:val="00476BC4"/>
    <w:rsid w:val="004800EB"/>
    <w:rsid w:val="0048131B"/>
    <w:rsid w:val="00490412"/>
    <w:rsid w:val="00493DB0"/>
    <w:rsid w:val="004A4ABE"/>
    <w:rsid w:val="004A5FF3"/>
    <w:rsid w:val="004C3F0C"/>
    <w:rsid w:val="004C6B4C"/>
    <w:rsid w:val="004D5E39"/>
    <w:rsid w:val="004E320F"/>
    <w:rsid w:val="004F5F2C"/>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0139C"/>
    <w:rsid w:val="00820A0B"/>
    <w:rsid w:val="00832FCC"/>
    <w:rsid w:val="00852B31"/>
    <w:rsid w:val="00872FDC"/>
    <w:rsid w:val="008738F4"/>
    <w:rsid w:val="008A043D"/>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B4631"/>
    <w:rsid w:val="009D067F"/>
    <w:rsid w:val="009D0F2C"/>
    <w:rsid w:val="009D2D93"/>
    <w:rsid w:val="009D5080"/>
    <w:rsid w:val="009F0D91"/>
    <w:rsid w:val="009F5ABB"/>
    <w:rsid w:val="009F6833"/>
    <w:rsid w:val="00A045FF"/>
    <w:rsid w:val="00A1047B"/>
    <w:rsid w:val="00A27A71"/>
    <w:rsid w:val="00A33EB3"/>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17841"/>
    <w:rsid w:val="00D20988"/>
    <w:rsid w:val="00D30594"/>
    <w:rsid w:val="00D3407E"/>
    <w:rsid w:val="00D43730"/>
    <w:rsid w:val="00D71282"/>
    <w:rsid w:val="00D76E74"/>
    <w:rsid w:val="00D81111"/>
    <w:rsid w:val="00D81D9D"/>
    <w:rsid w:val="00D82ADE"/>
    <w:rsid w:val="00D832E4"/>
    <w:rsid w:val="00D84EC9"/>
    <w:rsid w:val="00D8635C"/>
    <w:rsid w:val="00D9375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E2F82"/>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7120"/>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27F6-9F21-40FF-8855-64114763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148</cp:revision>
  <cp:lastPrinted>2022-04-20T11:11:00Z</cp:lastPrinted>
  <dcterms:created xsi:type="dcterms:W3CDTF">2017-07-17T11:46:00Z</dcterms:created>
  <dcterms:modified xsi:type="dcterms:W3CDTF">2022-11-17T06:58:00Z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134c0e9cbf614ae248c4480999b64f42a8fee73fae9e98e907cf9dfc67c6bd2e</vt:lpwstr>
  </property>
</Properties>
</file>