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4414AD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Turan BİNİCİ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4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3747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4414AD" w:rsidRPr="00B92579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turanbinici@harran.edu.tr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EA7D93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7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C2521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C2521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874C9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1E" w:rsidRDefault="00275A1E" w:rsidP="002B2BC7">
      <w:r>
        <w:separator/>
      </w:r>
    </w:p>
  </w:endnote>
  <w:endnote w:type="continuationSeparator" w:id="0">
    <w:p w:rsidR="00275A1E" w:rsidRDefault="00275A1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1E" w:rsidRDefault="00275A1E" w:rsidP="002B2BC7">
      <w:r>
        <w:separator/>
      </w:r>
    </w:p>
  </w:footnote>
  <w:footnote w:type="continuationSeparator" w:id="0">
    <w:p w:rsidR="00275A1E" w:rsidRDefault="00275A1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B643D"/>
    <w:rsid w:val="001D1763"/>
    <w:rsid w:val="001D7A35"/>
    <w:rsid w:val="001E20D0"/>
    <w:rsid w:val="00240C3F"/>
    <w:rsid w:val="002752C1"/>
    <w:rsid w:val="00275A1E"/>
    <w:rsid w:val="002B2BC7"/>
    <w:rsid w:val="002C519C"/>
    <w:rsid w:val="002E7116"/>
    <w:rsid w:val="003170FC"/>
    <w:rsid w:val="0034768E"/>
    <w:rsid w:val="00386DF4"/>
    <w:rsid w:val="003928B5"/>
    <w:rsid w:val="00394ACF"/>
    <w:rsid w:val="00397597"/>
    <w:rsid w:val="00407A6D"/>
    <w:rsid w:val="0042577E"/>
    <w:rsid w:val="004414AD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516E7"/>
    <w:rsid w:val="00775EF7"/>
    <w:rsid w:val="007A491B"/>
    <w:rsid w:val="00806EC0"/>
    <w:rsid w:val="00873AE1"/>
    <w:rsid w:val="008A331E"/>
    <w:rsid w:val="008C1872"/>
    <w:rsid w:val="0092731F"/>
    <w:rsid w:val="0093355E"/>
    <w:rsid w:val="00966913"/>
    <w:rsid w:val="00984DF1"/>
    <w:rsid w:val="009874C9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2521F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7D93"/>
    <w:rsid w:val="00EF186B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anbinici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2021-06-16T07:59:00Z</dcterms:modified>
</cp:coreProperties>
</file>